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B0D" w:rsidRDefault="003F5931" w:rsidP="00707E02">
      <w:pPr>
        <w:jc w:val="center"/>
        <w:rPr>
          <w:sz w:val="40"/>
          <w:szCs w:val="40"/>
        </w:rPr>
      </w:pPr>
      <w:r>
        <w:rPr>
          <w:rStyle w:val="titolirubricheindice"/>
          <w:color w:val="006EB7"/>
          <w:sz w:val="40"/>
          <w:szCs w:val="40"/>
        </w:rPr>
        <w:t xml:space="preserve"> </w:t>
      </w:r>
      <w:r w:rsidR="00837B0D">
        <w:rPr>
          <w:rStyle w:val="titolirubricheindice"/>
          <w:color w:val="006EB7"/>
          <w:sz w:val="40"/>
          <w:szCs w:val="40"/>
        </w:rPr>
        <w:t>Informative e news per la clientela di studio</w:t>
      </w:r>
    </w:p>
    <w:p w:rsidR="00837B0D" w:rsidRDefault="00837B0D" w:rsidP="00707E02">
      <w:pPr>
        <w:ind w:left="3540" w:firstLine="708"/>
        <w:jc w:val="center"/>
        <w:rPr>
          <w:b/>
          <w:sz w:val="28"/>
          <w:szCs w:val="28"/>
        </w:rPr>
      </w:pPr>
    </w:p>
    <w:p w:rsidR="00837B0D" w:rsidRDefault="003A50ED" w:rsidP="00707E02">
      <w:pPr>
        <w:ind w:left="3540" w:firstLine="708"/>
        <w:jc w:val="center"/>
        <w:rPr>
          <w:b/>
          <w:sz w:val="28"/>
          <w:szCs w:val="28"/>
        </w:rPr>
      </w:pPr>
      <w:r>
        <w:rPr>
          <w:b/>
          <w:sz w:val="28"/>
          <w:szCs w:val="28"/>
        </w:rPr>
        <w:t>Maggio</w:t>
      </w:r>
      <w:r w:rsidR="008A37D1">
        <w:rPr>
          <w:b/>
          <w:sz w:val="28"/>
          <w:szCs w:val="28"/>
        </w:rPr>
        <w:t xml:space="preserve"> 2018</w:t>
      </w:r>
    </w:p>
    <w:p w:rsidR="00DF22A7" w:rsidRDefault="00DF22A7" w:rsidP="00837B0D">
      <w:pPr>
        <w:ind w:left="3540" w:firstLine="708"/>
        <w:jc w:val="center"/>
        <w:rPr>
          <w:b/>
          <w:sz w:val="28"/>
          <w:szCs w:val="28"/>
        </w:rPr>
      </w:pPr>
    </w:p>
    <w:p w:rsidR="00D54311" w:rsidRDefault="00D54311" w:rsidP="00837B0D">
      <w:pPr>
        <w:ind w:left="3540" w:firstLine="708"/>
        <w:jc w:val="center"/>
        <w:rPr>
          <w:b/>
          <w:sz w:val="28"/>
          <w:szCs w:val="28"/>
        </w:rPr>
      </w:pPr>
    </w:p>
    <w:p w:rsidR="00D54311" w:rsidRDefault="00D54311" w:rsidP="00837B0D">
      <w:pPr>
        <w:ind w:left="3540" w:firstLine="708"/>
        <w:jc w:val="center"/>
        <w:rPr>
          <w:b/>
          <w:sz w:val="28"/>
          <w:szCs w:val="28"/>
        </w:rPr>
      </w:pPr>
    </w:p>
    <w:tbl>
      <w:tblPr>
        <w:tblW w:w="5000" w:type="pct"/>
        <w:jc w:val="center"/>
        <w:tblLook w:val="01E0" w:firstRow="1" w:lastRow="1" w:firstColumn="1" w:lastColumn="1" w:noHBand="0" w:noVBand="0"/>
      </w:tblPr>
      <w:tblGrid>
        <w:gridCol w:w="8596"/>
        <w:gridCol w:w="1259"/>
      </w:tblGrid>
      <w:tr w:rsidR="00DF22A7" w:rsidRPr="00301148" w:rsidTr="00C446A3">
        <w:trPr>
          <w:gridAfter w:val="1"/>
          <w:wAfter w:w="639" w:type="pct"/>
          <w:trHeight w:val="454"/>
          <w:jc w:val="center"/>
        </w:trPr>
        <w:tc>
          <w:tcPr>
            <w:tcW w:w="4361" w:type="pct"/>
            <w:tcBorders>
              <w:bottom w:val="single" w:sz="8" w:space="0" w:color="006EB7"/>
            </w:tcBorders>
            <w:vAlign w:val="center"/>
          </w:tcPr>
          <w:p w:rsidR="00DF22A7" w:rsidRPr="00301148" w:rsidRDefault="00F13F60" w:rsidP="00707E02">
            <w:pPr>
              <w:rPr>
                <w:rStyle w:val="titolirubricheindice"/>
                <w:rFonts w:ascii="PT Sans" w:hAnsi="PT Sans"/>
                <w:color w:val="006EB7"/>
              </w:rPr>
            </w:pPr>
            <w:r>
              <w:rPr>
                <w:rStyle w:val="titolirubricheindice"/>
                <w:rFonts w:ascii="PT Sans" w:hAnsi="PT Sans"/>
                <w:color w:val="006EB7"/>
              </w:rPr>
              <w:t>Indice delle news</w:t>
            </w:r>
          </w:p>
        </w:tc>
      </w:tr>
      <w:tr w:rsidR="00C446A3" w:rsidRPr="00301148" w:rsidTr="00B21D12">
        <w:trPr>
          <w:trHeight w:val="537"/>
          <w:jc w:val="center"/>
        </w:trPr>
        <w:tc>
          <w:tcPr>
            <w:tcW w:w="4361" w:type="pct"/>
            <w:tcBorders>
              <w:top w:val="single" w:sz="8" w:space="0" w:color="006EB7"/>
            </w:tcBorders>
            <w:vAlign w:val="center"/>
          </w:tcPr>
          <w:p w:rsidR="00C446A3" w:rsidRPr="00301148" w:rsidRDefault="00E96E01" w:rsidP="00F90B6A">
            <w:pPr>
              <w:ind w:right="252"/>
              <w:jc w:val="both"/>
              <w:rPr>
                <w:rFonts w:ascii="PT Sans" w:hAnsi="PT Sans" w:cs="Arial"/>
                <w:szCs w:val="22"/>
              </w:rPr>
            </w:pPr>
            <w:r w:rsidRPr="008A50E9">
              <w:rPr>
                <w:rFonts w:ascii="PT Sans" w:hAnsi="PT Sans" w:cs="Arial"/>
                <w:szCs w:val="22"/>
              </w:rPr>
              <w:t xml:space="preserve">Le </w:t>
            </w:r>
            <w:r w:rsidRPr="008A50E9">
              <w:rPr>
                <w:rFonts w:ascii="PT Sans" w:hAnsi="PT Sans" w:cs="Arial"/>
                <w:i/>
                <w:szCs w:val="22"/>
              </w:rPr>
              <w:t>news</w:t>
            </w:r>
            <w:r w:rsidRPr="008A50E9">
              <w:rPr>
                <w:rFonts w:ascii="PT Sans" w:hAnsi="PT Sans" w:cs="Arial"/>
                <w:szCs w:val="22"/>
              </w:rPr>
              <w:t xml:space="preserve"> di</w:t>
            </w:r>
            <w:r>
              <w:rPr>
                <w:rFonts w:ascii="PT Sans" w:hAnsi="PT Sans" w:cs="Arial"/>
                <w:szCs w:val="22"/>
              </w:rPr>
              <w:t xml:space="preserve"> </w:t>
            </w:r>
            <w:r w:rsidR="003A50ED">
              <w:rPr>
                <w:rFonts w:ascii="PT Sans" w:hAnsi="PT Sans" w:cs="Arial"/>
                <w:szCs w:val="22"/>
              </w:rPr>
              <w:t>maggio</w:t>
            </w:r>
          </w:p>
        </w:tc>
        <w:tc>
          <w:tcPr>
            <w:tcW w:w="639" w:type="pct"/>
            <w:vAlign w:val="center"/>
          </w:tcPr>
          <w:p w:rsidR="00C446A3" w:rsidRPr="00301148" w:rsidRDefault="00C446A3" w:rsidP="00C446A3">
            <w:pPr>
              <w:rPr>
                <w:rFonts w:ascii="PT Sans" w:hAnsi="PT Sans"/>
              </w:rPr>
            </w:pPr>
            <w:r w:rsidRPr="00301148">
              <w:rPr>
                <w:rFonts w:ascii="PT Sans" w:hAnsi="PT Sans"/>
              </w:rPr>
              <w:t>pag.</w:t>
            </w:r>
            <w:r w:rsidRPr="00301148">
              <w:rPr>
                <w:rFonts w:ascii="PT Sans" w:hAnsi="PT Sans"/>
              </w:rPr>
              <w:tab/>
            </w:r>
            <w:r w:rsidR="002B59F4">
              <w:rPr>
                <w:rFonts w:ascii="PT Sans" w:hAnsi="PT Sans"/>
              </w:rPr>
              <w:t>2</w:t>
            </w:r>
          </w:p>
        </w:tc>
      </w:tr>
      <w:tr w:rsidR="003A50ED" w:rsidRPr="0029726B" w:rsidTr="00B21D12">
        <w:trPr>
          <w:trHeight w:val="537"/>
          <w:jc w:val="center"/>
        </w:trPr>
        <w:tc>
          <w:tcPr>
            <w:tcW w:w="4361" w:type="pct"/>
            <w:vAlign w:val="center"/>
          </w:tcPr>
          <w:p w:rsidR="003A50ED" w:rsidRPr="00576940" w:rsidRDefault="003A50ED" w:rsidP="006D664E">
            <w:pPr>
              <w:pStyle w:val="indice"/>
              <w:rPr>
                <w:rFonts w:ascii="PT Sans" w:hAnsi="PT Sans"/>
              </w:rPr>
            </w:pPr>
            <w:r w:rsidRPr="001A5491">
              <w:rPr>
                <w:rFonts w:ascii="PT Sans" w:hAnsi="PT Sans"/>
              </w:rPr>
              <w:t>Fatturazione e pagamento delle cessioni di carburante</w:t>
            </w:r>
          </w:p>
        </w:tc>
        <w:tc>
          <w:tcPr>
            <w:tcW w:w="639" w:type="pct"/>
            <w:vAlign w:val="center"/>
          </w:tcPr>
          <w:p w:rsidR="003A50ED" w:rsidRPr="00301148" w:rsidRDefault="003A50ED" w:rsidP="003F5931">
            <w:pPr>
              <w:rPr>
                <w:rFonts w:ascii="PT Sans" w:hAnsi="PT Sans"/>
              </w:rPr>
            </w:pPr>
            <w:r w:rsidRPr="00301148">
              <w:rPr>
                <w:rFonts w:ascii="PT Sans" w:hAnsi="PT Sans"/>
              </w:rPr>
              <w:t>pag.</w:t>
            </w:r>
            <w:r w:rsidRPr="00301148">
              <w:rPr>
                <w:rFonts w:ascii="PT Sans" w:hAnsi="PT Sans"/>
              </w:rPr>
              <w:tab/>
            </w:r>
            <w:r>
              <w:rPr>
                <w:rFonts w:ascii="PT Sans" w:hAnsi="PT Sans"/>
              </w:rPr>
              <w:t>4</w:t>
            </w:r>
          </w:p>
        </w:tc>
      </w:tr>
      <w:tr w:rsidR="003A50ED" w:rsidRPr="0029726B" w:rsidTr="00B21D12">
        <w:trPr>
          <w:trHeight w:val="537"/>
          <w:jc w:val="center"/>
        </w:trPr>
        <w:tc>
          <w:tcPr>
            <w:tcW w:w="4361" w:type="pct"/>
            <w:vAlign w:val="center"/>
          </w:tcPr>
          <w:p w:rsidR="003A50ED" w:rsidRPr="00301148" w:rsidRDefault="003A50ED" w:rsidP="003F5931">
            <w:pPr>
              <w:ind w:right="252"/>
              <w:jc w:val="both"/>
              <w:rPr>
                <w:rFonts w:ascii="PT Sans" w:hAnsi="PT Sans"/>
              </w:rPr>
            </w:pPr>
            <w:r w:rsidRPr="00576940">
              <w:rPr>
                <w:rFonts w:ascii="PT Sans" w:hAnsi="PT Sans"/>
              </w:rPr>
              <w:t>Contrasto alle frodi: aggiornate le procedure per l’immatricolazione delle auto provenienti dalla UE</w:t>
            </w:r>
          </w:p>
        </w:tc>
        <w:tc>
          <w:tcPr>
            <w:tcW w:w="639" w:type="pct"/>
            <w:vAlign w:val="center"/>
          </w:tcPr>
          <w:p w:rsidR="003A50ED" w:rsidRPr="00301148" w:rsidRDefault="003A50ED" w:rsidP="00CC31D8">
            <w:pPr>
              <w:rPr>
                <w:rFonts w:ascii="PT Sans" w:hAnsi="PT Sans"/>
              </w:rPr>
            </w:pPr>
            <w:r w:rsidRPr="00301148">
              <w:rPr>
                <w:rFonts w:ascii="PT Sans" w:hAnsi="PT Sans"/>
              </w:rPr>
              <w:t>pag.</w:t>
            </w:r>
            <w:r w:rsidRPr="00301148">
              <w:rPr>
                <w:rFonts w:ascii="PT Sans" w:hAnsi="PT Sans"/>
              </w:rPr>
              <w:tab/>
            </w:r>
            <w:r w:rsidR="007B5631">
              <w:rPr>
                <w:rFonts w:ascii="PT Sans" w:hAnsi="PT Sans"/>
              </w:rPr>
              <w:t>7</w:t>
            </w:r>
          </w:p>
        </w:tc>
      </w:tr>
      <w:tr w:rsidR="003A50ED" w:rsidRPr="0029726B" w:rsidTr="00B21D12">
        <w:trPr>
          <w:trHeight w:val="537"/>
          <w:jc w:val="center"/>
        </w:trPr>
        <w:tc>
          <w:tcPr>
            <w:tcW w:w="4361" w:type="pct"/>
            <w:vAlign w:val="center"/>
          </w:tcPr>
          <w:p w:rsidR="003A50ED" w:rsidRPr="00301148" w:rsidRDefault="003A50ED" w:rsidP="00F90B6A">
            <w:pPr>
              <w:ind w:right="252"/>
              <w:jc w:val="both"/>
              <w:rPr>
                <w:rFonts w:ascii="PT Sans" w:hAnsi="PT Sans"/>
              </w:rPr>
            </w:pPr>
            <w:r w:rsidRPr="00834473">
              <w:rPr>
                <w:rFonts w:ascii="PT Sans" w:hAnsi="PT Sans"/>
              </w:rPr>
              <w:t>Scade il prossimo 2 luglio 2018 la possibilità di rideterminare il valore di partecipazioni e terreni posseduti al 1° gennaio 2018</w:t>
            </w:r>
          </w:p>
        </w:tc>
        <w:tc>
          <w:tcPr>
            <w:tcW w:w="639" w:type="pct"/>
            <w:vAlign w:val="center"/>
          </w:tcPr>
          <w:p w:rsidR="003A50ED" w:rsidRPr="00301148" w:rsidRDefault="003A50ED" w:rsidP="00CC31D8">
            <w:pPr>
              <w:rPr>
                <w:rFonts w:ascii="PT Sans" w:hAnsi="PT Sans"/>
              </w:rPr>
            </w:pPr>
            <w:r w:rsidRPr="00301148">
              <w:rPr>
                <w:rFonts w:ascii="PT Sans" w:hAnsi="PT Sans"/>
              </w:rPr>
              <w:t>pag.</w:t>
            </w:r>
            <w:r w:rsidRPr="00301148">
              <w:rPr>
                <w:rFonts w:ascii="PT Sans" w:hAnsi="PT Sans"/>
              </w:rPr>
              <w:tab/>
            </w:r>
            <w:r w:rsidR="007B5631">
              <w:rPr>
                <w:rFonts w:ascii="PT Sans" w:hAnsi="PT Sans"/>
              </w:rPr>
              <w:t>10</w:t>
            </w:r>
          </w:p>
        </w:tc>
      </w:tr>
      <w:tr w:rsidR="003A50ED" w:rsidRPr="0029726B" w:rsidTr="00B21D12">
        <w:trPr>
          <w:trHeight w:val="537"/>
          <w:jc w:val="center"/>
        </w:trPr>
        <w:tc>
          <w:tcPr>
            <w:tcW w:w="4361" w:type="pct"/>
            <w:vAlign w:val="center"/>
          </w:tcPr>
          <w:p w:rsidR="003A50ED" w:rsidRPr="008E55D3" w:rsidRDefault="003A50ED" w:rsidP="00F90B6A">
            <w:pPr>
              <w:ind w:right="252"/>
              <w:jc w:val="both"/>
              <w:rPr>
                <w:rFonts w:ascii="PT Sans" w:hAnsi="PT Sans"/>
              </w:rPr>
            </w:pPr>
            <w:r w:rsidRPr="00834473">
              <w:rPr>
                <w:rFonts w:ascii="PT Sans" w:hAnsi="PT Sans"/>
              </w:rPr>
              <w:t>Acconto 2018 Imu e Tasi</w:t>
            </w:r>
          </w:p>
        </w:tc>
        <w:tc>
          <w:tcPr>
            <w:tcW w:w="639" w:type="pct"/>
            <w:vAlign w:val="center"/>
          </w:tcPr>
          <w:p w:rsidR="003A50ED" w:rsidRPr="00301148" w:rsidRDefault="003A50ED" w:rsidP="00054DE0">
            <w:pPr>
              <w:rPr>
                <w:rFonts w:ascii="PT Sans" w:hAnsi="PT Sans"/>
              </w:rPr>
            </w:pPr>
            <w:r w:rsidRPr="00301148">
              <w:rPr>
                <w:rFonts w:ascii="PT Sans" w:hAnsi="PT Sans"/>
              </w:rPr>
              <w:t>pag.</w:t>
            </w:r>
            <w:r w:rsidRPr="00301148">
              <w:rPr>
                <w:rFonts w:ascii="PT Sans" w:hAnsi="PT Sans"/>
              </w:rPr>
              <w:tab/>
            </w:r>
            <w:r w:rsidR="007B5631">
              <w:rPr>
                <w:rFonts w:ascii="PT Sans" w:hAnsi="PT Sans"/>
              </w:rPr>
              <w:t>12</w:t>
            </w:r>
          </w:p>
        </w:tc>
      </w:tr>
      <w:tr w:rsidR="003A50ED" w:rsidRPr="0029726B" w:rsidTr="00B21D12">
        <w:trPr>
          <w:trHeight w:val="537"/>
          <w:jc w:val="center"/>
        </w:trPr>
        <w:tc>
          <w:tcPr>
            <w:tcW w:w="4361" w:type="pct"/>
            <w:vAlign w:val="center"/>
          </w:tcPr>
          <w:p w:rsidR="003A50ED" w:rsidRPr="00301148" w:rsidRDefault="003A50ED" w:rsidP="00F90B6A">
            <w:pPr>
              <w:ind w:right="252"/>
              <w:jc w:val="both"/>
              <w:rPr>
                <w:rFonts w:ascii="PT Sans" w:hAnsi="PT Sans"/>
              </w:rPr>
            </w:pPr>
            <w:r w:rsidRPr="00834473">
              <w:rPr>
                <w:rFonts w:ascii="PT Sans" w:hAnsi="PT Sans"/>
              </w:rPr>
              <w:t>La compilazione della dichiarazione Irap per i piccoli contribuenti</w:t>
            </w:r>
          </w:p>
        </w:tc>
        <w:tc>
          <w:tcPr>
            <w:tcW w:w="639" w:type="pct"/>
            <w:vAlign w:val="center"/>
          </w:tcPr>
          <w:p w:rsidR="003A50ED" w:rsidRPr="00301148" w:rsidRDefault="003A50ED" w:rsidP="00054DE0">
            <w:pPr>
              <w:rPr>
                <w:rFonts w:ascii="PT Sans" w:hAnsi="PT Sans"/>
              </w:rPr>
            </w:pPr>
            <w:r w:rsidRPr="00301148">
              <w:rPr>
                <w:rFonts w:ascii="PT Sans" w:hAnsi="PT Sans"/>
              </w:rPr>
              <w:t>pag.</w:t>
            </w:r>
            <w:r w:rsidRPr="00301148">
              <w:rPr>
                <w:rFonts w:ascii="PT Sans" w:hAnsi="PT Sans"/>
              </w:rPr>
              <w:tab/>
            </w:r>
            <w:r w:rsidR="007B5631">
              <w:rPr>
                <w:rFonts w:ascii="PT Sans" w:hAnsi="PT Sans"/>
              </w:rPr>
              <w:t>16</w:t>
            </w:r>
          </w:p>
        </w:tc>
      </w:tr>
      <w:tr w:rsidR="003A50ED" w:rsidRPr="0029726B" w:rsidTr="00B21D12">
        <w:trPr>
          <w:trHeight w:val="537"/>
          <w:jc w:val="center"/>
        </w:trPr>
        <w:tc>
          <w:tcPr>
            <w:tcW w:w="4361" w:type="pct"/>
            <w:vAlign w:val="center"/>
          </w:tcPr>
          <w:p w:rsidR="003A50ED" w:rsidRPr="00301148" w:rsidRDefault="003A50ED" w:rsidP="00F90B6A">
            <w:pPr>
              <w:pStyle w:val="indice"/>
              <w:rPr>
                <w:rFonts w:ascii="PT Sans" w:hAnsi="PT Sans"/>
              </w:rPr>
            </w:pPr>
            <w:r w:rsidRPr="00834473">
              <w:rPr>
                <w:rFonts w:ascii="PT Sans" w:hAnsi="PT Sans"/>
                <w:bCs/>
              </w:rPr>
              <w:t>Per l’iperammortamento perizia consentita anche dopo l’investimento</w:t>
            </w:r>
          </w:p>
        </w:tc>
        <w:tc>
          <w:tcPr>
            <w:tcW w:w="639" w:type="pct"/>
            <w:vAlign w:val="center"/>
          </w:tcPr>
          <w:p w:rsidR="003A50ED" w:rsidRPr="00301148" w:rsidRDefault="003A50ED" w:rsidP="00054DE0">
            <w:pPr>
              <w:rPr>
                <w:rFonts w:ascii="PT Sans" w:hAnsi="PT Sans"/>
              </w:rPr>
            </w:pPr>
            <w:r w:rsidRPr="00301148">
              <w:rPr>
                <w:rFonts w:ascii="PT Sans" w:hAnsi="PT Sans"/>
              </w:rPr>
              <w:t>pag.</w:t>
            </w:r>
            <w:r w:rsidRPr="00301148">
              <w:rPr>
                <w:rFonts w:ascii="PT Sans" w:hAnsi="PT Sans"/>
              </w:rPr>
              <w:tab/>
            </w:r>
            <w:r w:rsidR="007B5631">
              <w:rPr>
                <w:rFonts w:ascii="PT Sans" w:hAnsi="PT Sans"/>
              </w:rPr>
              <w:t>20</w:t>
            </w:r>
          </w:p>
        </w:tc>
      </w:tr>
      <w:tr w:rsidR="003A50ED" w:rsidRPr="0029726B" w:rsidTr="00B21D12">
        <w:trPr>
          <w:trHeight w:val="537"/>
          <w:jc w:val="center"/>
        </w:trPr>
        <w:tc>
          <w:tcPr>
            <w:tcW w:w="4361" w:type="pct"/>
            <w:vAlign w:val="center"/>
          </w:tcPr>
          <w:p w:rsidR="003A50ED" w:rsidRPr="00301148" w:rsidRDefault="003A50ED" w:rsidP="00F90B6A">
            <w:pPr>
              <w:pStyle w:val="indice"/>
              <w:rPr>
                <w:rFonts w:ascii="PT Sans" w:hAnsi="PT Sans"/>
                <w:spacing w:val="-2"/>
              </w:rPr>
            </w:pPr>
            <w:r w:rsidRPr="00834473">
              <w:rPr>
                <w:rFonts w:ascii="PT Sans" w:hAnsi="PT Sans"/>
                <w:spacing w:val="-2"/>
              </w:rPr>
              <w:t>I chiarimenti delle entrate sulla tassazione delle società agricole</w:t>
            </w:r>
          </w:p>
        </w:tc>
        <w:tc>
          <w:tcPr>
            <w:tcW w:w="639" w:type="pct"/>
            <w:vAlign w:val="center"/>
          </w:tcPr>
          <w:p w:rsidR="003A50ED" w:rsidRPr="00301148" w:rsidRDefault="003A50ED" w:rsidP="00C446A3">
            <w:pPr>
              <w:rPr>
                <w:rFonts w:ascii="PT Sans" w:hAnsi="PT Sans"/>
              </w:rPr>
            </w:pPr>
            <w:r w:rsidRPr="00301148">
              <w:rPr>
                <w:rFonts w:ascii="PT Sans" w:hAnsi="PT Sans"/>
              </w:rPr>
              <w:t>pag.</w:t>
            </w:r>
            <w:r w:rsidRPr="00301148">
              <w:rPr>
                <w:rFonts w:ascii="PT Sans" w:hAnsi="PT Sans"/>
              </w:rPr>
              <w:tab/>
            </w:r>
            <w:r w:rsidR="007B5631">
              <w:rPr>
                <w:rFonts w:ascii="PT Sans" w:hAnsi="PT Sans"/>
              </w:rPr>
              <w:t>21</w:t>
            </w:r>
          </w:p>
        </w:tc>
      </w:tr>
      <w:tr w:rsidR="003A50ED" w:rsidRPr="0029726B" w:rsidTr="00B21D12">
        <w:trPr>
          <w:trHeight w:val="537"/>
          <w:jc w:val="center"/>
        </w:trPr>
        <w:tc>
          <w:tcPr>
            <w:tcW w:w="4361" w:type="pct"/>
            <w:vAlign w:val="center"/>
          </w:tcPr>
          <w:p w:rsidR="003A50ED" w:rsidRPr="00834473" w:rsidRDefault="003A50ED" w:rsidP="00F90B6A">
            <w:pPr>
              <w:pStyle w:val="indice"/>
              <w:rPr>
                <w:rFonts w:ascii="PT Sans" w:hAnsi="PT Sans"/>
                <w:spacing w:val="-2"/>
              </w:rPr>
            </w:pPr>
            <w:r w:rsidRPr="00834473">
              <w:rPr>
                <w:rFonts w:ascii="PT Sans" w:hAnsi="PT Sans"/>
                <w:bCs/>
              </w:rPr>
              <w:t>Nel caso di contratti di locazione ad uso abitativo “non assistiti” vige l’obbligo di acquisire apposita attestazione dell’accordo</w:t>
            </w:r>
          </w:p>
        </w:tc>
        <w:tc>
          <w:tcPr>
            <w:tcW w:w="639" w:type="pct"/>
            <w:vAlign w:val="center"/>
          </w:tcPr>
          <w:p w:rsidR="003A50ED" w:rsidRPr="00301148" w:rsidRDefault="003A50ED" w:rsidP="00C446A3">
            <w:pPr>
              <w:rPr>
                <w:rFonts w:ascii="PT Sans" w:hAnsi="PT Sans"/>
              </w:rPr>
            </w:pPr>
            <w:r w:rsidRPr="00301148">
              <w:rPr>
                <w:rFonts w:ascii="PT Sans" w:hAnsi="PT Sans"/>
              </w:rPr>
              <w:t>pag.</w:t>
            </w:r>
            <w:r w:rsidRPr="00301148">
              <w:rPr>
                <w:rFonts w:ascii="PT Sans" w:hAnsi="PT Sans"/>
              </w:rPr>
              <w:tab/>
            </w:r>
            <w:r w:rsidR="007B5631">
              <w:rPr>
                <w:rFonts w:ascii="PT Sans" w:hAnsi="PT Sans"/>
              </w:rPr>
              <w:t>23</w:t>
            </w:r>
          </w:p>
        </w:tc>
      </w:tr>
      <w:tr w:rsidR="003A50ED" w:rsidRPr="0029726B" w:rsidTr="00B21D12">
        <w:trPr>
          <w:trHeight w:val="537"/>
          <w:jc w:val="center"/>
        </w:trPr>
        <w:tc>
          <w:tcPr>
            <w:tcW w:w="4361" w:type="pct"/>
            <w:vAlign w:val="center"/>
          </w:tcPr>
          <w:p w:rsidR="003A50ED" w:rsidRPr="00834473" w:rsidRDefault="003A50ED" w:rsidP="00F90B6A">
            <w:pPr>
              <w:pStyle w:val="indice"/>
              <w:rPr>
                <w:rFonts w:ascii="PT Sans" w:hAnsi="PT Sans"/>
                <w:spacing w:val="-2"/>
              </w:rPr>
            </w:pPr>
            <w:r w:rsidRPr="00834473">
              <w:rPr>
                <w:rFonts w:ascii="PT Sans" w:hAnsi="PT Sans"/>
                <w:bCs/>
              </w:rPr>
              <w:t xml:space="preserve">Sul diritto di superficie </w:t>
            </w:r>
            <w:r w:rsidRPr="00834473">
              <w:rPr>
                <w:rFonts w:ascii="PT Sans" w:hAnsi="PT Sans"/>
                <w:bCs/>
                <w:i/>
              </w:rPr>
              <w:t>dietrofront</w:t>
            </w:r>
            <w:r w:rsidRPr="00834473">
              <w:rPr>
                <w:rFonts w:ascii="PT Sans" w:hAnsi="PT Sans"/>
                <w:bCs/>
              </w:rPr>
              <w:t xml:space="preserve"> dell’</w:t>
            </w:r>
            <w:r>
              <w:rPr>
                <w:rFonts w:ascii="PT Sans" w:hAnsi="PT Sans"/>
                <w:bCs/>
              </w:rPr>
              <w:t>A</w:t>
            </w:r>
            <w:r w:rsidRPr="00834473">
              <w:rPr>
                <w:rFonts w:ascii="PT Sans" w:hAnsi="PT Sans"/>
                <w:bCs/>
              </w:rPr>
              <w:t>genzia delle entrate</w:t>
            </w:r>
          </w:p>
        </w:tc>
        <w:tc>
          <w:tcPr>
            <w:tcW w:w="639" w:type="pct"/>
            <w:vAlign w:val="center"/>
          </w:tcPr>
          <w:p w:rsidR="003A50ED" w:rsidRPr="00301148" w:rsidRDefault="003A50ED" w:rsidP="00C446A3">
            <w:pPr>
              <w:rPr>
                <w:rFonts w:ascii="PT Sans" w:hAnsi="PT Sans"/>
              </w:rPr>
            </w:pPr>
            <w:r w:rsidRPr="00301148">
              <w:rPr>
                <w:rFonts w:ascii="PT Sans" w:hAnsi="PT Sans"/>
              </w:rPr>
              <w:t>pag.</w:t>
            </w:r>
            <w:r w:rsidRPr="00301148">
              <w:rPr>
                <w:rFonts w:ascii="PT Sans" w:hAnsi="PT Sans"/>
              </w:rPr>
              <w:tab/>
            </w:r>
            <w:r w:rsidR="007B5631">
              <w:rPr>
                <w:rFonts w:ascii="PT Sans" w:hAnsi="PT Sans"/>
              </w:rPr>
              <w:t>24</w:t>
            </w:r>
          </w:p>
        </w:tc>
      </w:tr>
      <w:tr w:rsidR="003A50ED" w:rsidRPr="0029726B" w:rsidTr="00B21D12">
        <w:trPr>
          <w:trHeight w:val="537"/>
          <w:jc w:val="center"/>
        </w:trPr>
        <w:tc>
          <w:tcPr>
            <w:tcW w:w="4361" w:type="pct"/>
            <w:vAlign w:val="center"/>
          </w:tcPr>
          <w:p w:rsidR="003A50ED" w:rsidRPr="00834473" w:rsidRDefault="003A50ED" w:rsidP="00F90B6A">
            <w:pPr>
              <w:pStyle w:val="indice"/>
              <w:rPr>
                <w:rFonts w:ascii="PT Sans" w:hAnsi="PT Sans"/>
                <w:spacing w:val="-2"/>
              </w:rPr>
            </w:pPr>
            <w:r w:rsidRPr="00834473">
              <w:rPr>
                <w:rFonts w:ascii="PT Sans" w:hAnsi="PT Sans"/>
              </w:rPr>
              <w:t>Gruppo Iva: pubblicato il decreto attuativo</w:t>
            </w:r>
          </w:p>
        </w:tc>
        <w:tc>
          <w:tcPr>
            <w:tcW w:w="639" w:type="pct"/>
            <w:vAlign w:val="center"/>
          </w:tcPr>
          <w:p w:rsidR="003A50ED" w:rsidRPr="00301148" w:rsidRDefault="003A50ED" w:rsidP="00C446A3">
            <w:pPr>
              <w:rPr>
                <w:rFonts w:ascii="PT Sans" w:hAnsi="PT Sans"/>
              </w:rPr>
            </w:pPr>
            <w:r w:rsidRPr="00301148">
              <w:rPr>
                <w:rFonts w:ascii="PT Sans" w:hAnsi="PT Sans"/>
              </w:rPr>
              <w:t>pag.</w:t>
            </w:r>
            <w:r w:rsidRPr="00301148">
              <w:rPr>
                <w:rFonts w:ascii="PT Sans" w:hAnsi="PT Sans"/>
              </w:rPr>
              <w:tab/>
            </w:r>
            <w:r w:rsidR="007B5631">
              <w:rPr>
                <w:rFonts w:ascii="PT Sans" w:hAnsi="PT Sans"/>
              </w:rPr>
              <w:t>26</w:t>
            </w:r>
          </w:p>
        </w:tc>
      </w:tr>
      <w:tr w:rsidR="003A50ED" w:rsidRPr="00301148" w:rsidTr="00C446A3">
        <w:trPr>
          <w:trHeight w:val="454"/>
          <w:jc w:val="center"/>
        </w:trPr>
        <w:tc>
          <w:tcPr>
            <w:tcW w:w="4361" w:type="pct"/>
            <w:tcBorders>
              <w:bottom w:val="single" w:sz="8" w:space="0" w:color="006EB7"/>
            </w:tcBorders>
            <w:vAlign w:val="center"/>
          </w:tcPr>
          <w:p w:rsidR="003A50ED" w:rsidRPr="00301148" w:rsidRDefault="003A50ED" w:rsidP="00A55A21">
            <w:pPr>
              <w:pStyle w:val="indice"/>
              <w:rPr>
                <w:rFonts w:ascii="PT Sans" w:hAnsi="PT Sans"/>
              </w:rPr>
            </w:pPr>
          </w:p>
        </w:tc>
        <w:tc>
          <w:tcPr>
            <w:tcW w:w="639" w:type="pct"/>
            <w:vAlign w:val="bottom"/>
          </w:tcPr>
          <w:p w:rsidR="003A50ED" w:rsidRPr="00301148" w:rsidRDefault="003A50ED" w:rsidP="00A55A21">
            <w:pPr>
              <w:rPr>
                <w:rFonts w:ascii="PT Sans" w:hAnsi="PT Sans"/>
              </w:rPr>
            </w:pPr>
          </w:p>
        </w:tc>
      </w:tr>
      <w:tr w:rsidR="003A50ED" w:rsidRPr="00301148" w:rsidTr="00C446A3">
        <w:trPr>
          <w:gridAfter w:val="1"/>
          <w:wAfter w:w="639" w:type="pct"/>
          <w:trHeight w:val="340"/>
          <w:jc w:val="center"/>
        </w:trPr>
        <w:tc>
          <w:tcPr>
            <w:tcW w:w="4361" w:type="pct"/>
            <w:tcBorders>
              <w:top w:val="single" w:sz="8" w:space="0" w:color="006EB7"/>
            </w:tcBorders>
            <w:vAlign w:val="center"/>
          </w:tcPr>
          <w:p w:rsidR="003A50ED" w:rsidRPr="00301148" w:rsidRDefault="003A50ED" w:rsidP="00A55A21">
            <w:pPr>
              <w:ind w:right="252"/>
              <w:jc w:val="both"/>
              <w:rPr>
                <w:rFonts w:ascii="PT Sans" w:hAnsi="PT Sans" w:cs="Arial"/>
                <w:sz w:val="14"/>
                <w:szCs w:val="14"/>
              </w:rPr>
            </w:pPr>
          </w:p>
        </w:tc>
      </w:tr>
      <w:tr w:rsidR="003A50ED" w:rsidRPr="00301148" w:rsidTr="00C446A3">
        <w:trPr>
          <w:gridAfter w:val="1"/>
          <w:wAfter w:w="639" w:type="pct"/>
          <w:jc w:val="center"/>
        </w:trPr>
        <w:tc>
          <w:tcPr>
            <w:tcW w:w="4361" w:type="pct"/>
            <w:vAlign w:val="center"/>
          </w:tcPr>
          <w:p w:rsidR="003A50ED" w:rsidRPr="00301148" w:rsidRDefault="003A50ED" w:rsidP="00A55A21">
            <w:pPr>
              <w:rPr>
                <w:rStyle w:val="titolirubricheindice"/>
                <w:rFonts w:ascii="PT Sans" w:hAnsi="PT Sans"/>
                <w:bCs w:val="0"/>
                <w:color w:val="006EB7"/>
              </w:rPr>
            </w:pPr>
            <w:r>
              <w:rPr>
                <w:rStyle w:val="titolirubricheindice"/>
                <w:rFonts w:ascii="PT Sans" w:hAnsi="PT Sans"/>
                <w:bCs w:val="0"/>
                <w:color w:val="006EB7"/>
              </w:rPr>
              <w:t>Scadenzario</w:t>
            </w:r>
          </w:p>
        </w:tc>
      </w:tr>
      <w:tr w:rsidR="003A50ED" w:rsidRPr="00301148" w:rsidTr="00C446A3">
        <w:trPr>
          <w:trHeight w:val="454"/>
          <w:jc w:val="center"/>
        </w:trPr>
        <w:tc>
          <w:tcPr>
            <w:tcW w:w="4361" w:type="pct"/>
            <w:tcBorders>
              <w:bottom w:val="single" w:sz="8" w:space="0" w:color="006EB7"/>
            </w:tcBorders>
            <w:vAlign w:val="center"/>
          </w:tcPr>
          <w:p w:rsidR="003A50ED" w:rsidRPr="00301148" w:rsidRDefault="003A50ED" w:rsidP="001B5183">
            <w:pPr>
              <w:pStyle w:val="indice"/>
              <w:rPr>
                <w:rFonts w:ascii="PT Sans" w:hAnsi="PT Sans"/>
              </w:rPr>
            </w:pPr>
            <w:r w:rsidRPr="005C52DC">
              <w:rPr>
                <w:rFonts w:ascii="PT Sans" w:hAnsi="PT Sans"/>
              </w:rPr>
              <w:t>Prin</w:t>
            </w:r>
            <w:r>
              <w:rPr>
                <w:rFonts w:ascii="PT Sans" w:hAnsi="PT Sans"/>
              </w:rPr>
              <w:t>cipali scadenze dal 16 maggio</w:t>
            </w:r>
            <w:r w:rsidRPr="005C52DC">
              <w:rPr>
                <w:rFonts w:ascii="PT Sans" w:hAnsi="PT Sans"/>
              </w:rPr>
              <w:t xml:space="preserve"> al 15 </w:t>
            </w:r>
            <w:r>
              <w:rPr>
                <w:rFonts w:ascii="PT Sans" w:hAnsi="PT Sans"/>
              </w:rPr>
              <w:t>giugno 2018</w:t>
            </w:r>
          </w:p>
        </w:tc>
        <w:tc>
          <w:tcPr>
            <w:tcW w:w="639" w:type="pct"/>
          </w:tcPr>
          <w:p w:rsidR="003A50ED" w:rsidRPr="00301148" w:rsidRDefault="003A50ED" w:rsidP="00A55A21">
            <w:pPr>
              <w:rPr>
                <w:rFonts w:ascii="PT Sans" w:hAnsi="PT Sans"/>
              </w:rPr>
            </w:pPr>
            <w:r w:rsidRPr="00301148">
              <w:rPr>
                <w:rFonts w:ascii="PT Sans" w:hAnsi="PT Sans"/>
              </w:rPr>
              <w:t>pag.</w:t>
            </w:r>
            <w:r w:rsidRPr="00301148">
              <w:rPr>
                <w:rFonts w:ascii="PT Sans" w:hAnsi="PT Sans"/>
              </w:rPr>
              <w:tab/>
            </w:r>
            <w:r w:rsidR="007B5631">
              <w:rPr>
                <w:rFonts w:ascii="PT Sans" w:hAnsi="PT Sans"/>
              </w:rPr>
              <w:t>28</w:t>
            </w:r>
          </w:p>
        </w:tc>
      </w:tr>
      <w:tr w:rsidR="003A50ED" w:rsidRPr="0029726B" w:rsidTr="00C446A3">
        <w:trPr>
          <w:gridAfter w:val="1"/>
          <w:wAfter w:w="639" w:type="pct"/>
          <w:trHeight w:val="340"/>
          <w:jc w:val="center"/>
        </w:trPr>
        <w:tc>
          <w:tcPr>
            <w:tcW w:w="4361" w:type="pct"/>
            <w:tcBorders>
              <w:top w:val="single" w:sz="8" w:space="0" w:color="006EB7"/>
            </w:tcBorders>
            <w:vAlign w:val="center"/>
          </w:tcPr>
          <w:p w:rsidR="003A50ED" w:rsidRPr="00301148" w:rsidRDefault="003A50ED" w:rsidP="00A55A21">
            <w:pPr>
              <w:ind w:right="252"/>
              <w:jc w:val="both"/>
              <w:rPr>
                <w:rFonts w:ascii="PT Sans" w:hAnsi="PT Sans" w:cs="Arial"/>
                <w:sz w:val="14"/>
                <w:szCs w:val="14"/>
              </w:rPr>
            </w:pPr>
          </w:p>
        </w:tc>
        <w:bookmarkStart w:id="0" w:name="_GoBack"/>
        <w:bookmarkEnd w:id="0"/>
      </w:tr>
    </w:tbl>
    <w:p w:rsidR="00DF22A7" w:rsidRDefault="00DF22A7" w:rsidP="00837B0D">
      <w:pPr>
        <w:ind w:left="3540" w:firstLine="708"/>
        <w:jc w:val="center"/>
        <w:rPr>
          <w:b/>
          <w:sz w:val="28"/>
          <w:szCs w:val="28"/>
        </w:rPr>
      </w:pPr>
    </w:p>
    <w:p w:rsidR="00DF22A7" w:rsidRDefault="00DF22A7" w:rsidP="00837B0D">
      <w:pPr>
        <w:ind w:left="3540" w:firstLine="708"/>
        <w:jc w:val="center"/>
        <w:rPr>
          <w:b/>
          <w:sz w:val="28"/>
          <w:szCs w:val="28"/>
        </w:rPr>
      </w:pPr>
    </w:p>
    <w:p w:rsidR="008A37D1" w:rsidRDefault="008A37D1" w:rsidP="00837B0D">
      <w:pPr>
        <w:ind w:left="3540" w:firstLine="708"/>
        <w:jc w:val="center"/>
        <w:rPr>
          <w:b/>
          <w:sz w:val="28"/>
          <w:szCs w:val="28"/>
        </w:rPr>
      </w:pPr>
    </w:p>
    <w:p w:rsidR="008A37D1" w:rsidRDefault="008A37D1" w:rsidP="00837B0D">
      <w:pPr>
        <w:ind w:left="3540" w:firstLine="708"/>
        <w:jc w:val="center"/>
        <w:rPr>
          <w:b/>
          <w:sz w:val="28"/>
          <w:szCs w:val="28"/>
        </w:rPr>
      </w:pPr>
    </w:p>
    <w:p w:rsidR="00C45D0C" w:rsidRDefault="00C45D0C" w:rsidP="00837B0D">
      <w:pPr>
        <w:ind w:left="3540" w:firstLine="708"/>
        <w:jc w:val="center"/>
        <w:rPr>
          <w:b/>
          <w:sz w:val="28"/>
          <w:szCs w:val="28"/>
        </w:rPr>
      </w:pPr>
    </w:p>
    <w:p w:rsidR="00264A91" w:rsidRDefault="00264A91" w:rsidP="00837B0D">
      <w:pPr>
        <w:ind w:left="3540" w:firstLine="708"/>
        <w:jc w:val="center"/>
        <w:rPr>
          <w:b/>
          <w:sz w:val="28"/>
          <w:szCs w:val="28"/>
        </w:rPr>
      </w:pPr>
    </w:p>
    <w:p w:rsidR="001B5183" w:rsidRDefault="001B5183" w:rsidP="00837B0D">
      <w:pPr>
        <w:ind w:left="3540" w:firstLine="708"/>
        <w:jc w:val="center"/>
        <w:rPr>
          <w:b/>
          <w:sz w:val="28"/>
          <w:szCs w:val="28"/>
        </w:rPr>
      </w:pPr>
    </w:p>
    <w:p w:rsidR="001B5183" w:rsidRDefault="001B5183" w:rsidP="00837B0D">
      <w:pPr>
        <w:ind w:left="3540" w:firstLine="708"/>
        <w:jc w:val="center"/>
        <w:rPr>
          <w:b/>
          <w:sz w:val="28"/>
          <w:szCs w:val="28"/>
        </w:rPr>
      </w:pPr>
    </w:p>
    <w:p w:rsidR="00264A91" w:rsidRDefault="00264A91" w:rsidP="00837B0D">
      <w:pPr>
        <w:ind w:left="3540" w:firstLine="708"/>
        <w:jc w:val="center"/>
        <w:rPr>
          <w:b/>
          <w:sz w:val="28"/>
          <w:szCs w:val="28"/>
        </w:rPr>
      </w:pPr>
    </w:p>
    <w:p w:rsidR="008A37D1" w:rsidRDefault="008A37D1" w:rsidP="00837B0D">
      <w:pPr>
        <w:ind w:left="3540" w:firstLine="708"/>
        <w:jc w:val="center"/>
        <w:rPr>
          <w:b/>
          <w:sz w:val="28"/>
          <w:szCs w:val="28"/>
        </w:rPr>
      </w:pPr>
    </w:p>
    <w:tbl>
      <w:tblPr>
        <w:tblW w:w="0" w:type="auto"/>
        <w:tblBorders>
          <w:top w:val="single" w:sz="4" w:space="0" w:color="006EB7"/>
          <w:left w:val="single" w:sz="4" w:space="0" w:color="006EB7"/>
          <w:bottom w:val="single" w:sz="4" w:space="0" w:color="006EB7"/>
          <w:right w:val="single" w:sz="4" w:space="0" w:color="006EB7"/>
          <w:insideH w:val="single" w:sz="4" w:space="0" w:color="006EB7"/>
          <w:insideV w:val="single" w:sz="4" w:space="0" w:color="006EB7"/>
        </w:tblBorders>
        <w:tblLook w:val="01E0" w:firstRow="1" w:lastRow="1" w:firstColumn="1" w:lastColumn="1" w:noHBand="0" w:noVBand="0"/>
      </w:tblPr>
      <w:tblGrid>
        <w:gridCol w:w="9775"/>
      </w:tblGrid>
      <w:tr w:rsidR="00AB42BA" w:rsidRPr="00301148" w:rsidTr="006D664E">
        <w:trPr>
          <w:trHeight w:val="340"/>
        </w:trPr>
        <w:tc>
          <w:tcPr>
            <w:tcW w:w="9775" w:type="dxa"/>
            <w:shd w:val="clear" w:color="auto" w:fill="006EB7"/>
            <w:vAlign w:val="center"/>
          </w:tcPr>
          <w:p w:rsidR="00AB42BA" w:rsidRPr="00CF7C0D" w:rsidRDefault="00AB42BA" w:rsidP="006D664E">
            <w:pPr>
              <w:pStyle w:val="macrotemabox"/>
              <w:rPr>
                <w:rFonts w:ascii="PT Sans" w:hAnsi="PT Sans"/>
                <w:sz w:val="26"/>
                <w:szCs w:val="26"/>
              </w:rPr>
            </w:pPr>
            <w:bookmarkStart w:id="1" w:name="OLE_LINK1"/>
            <w:bookmarkStart w:id="2" w:name="OLE_LINK2"/>
            <w:r w:rsidRPr="00CF7C0D">
              <w:rPr>
                <w:rFonts w:ascii="PT Sans" w:hAnsi="PT Sans"/>
                <w:sz w:val="26"/>
                <w:szCs w:val="26"/>
              </w:rPr>
              <w:t>INDICI DI AFFIDABILITÀ FISCALE</w:t>
            </w:r>
          </w:p>
        </w:tc>
      </w:tr>
      <w:tr w:rsidR="00AB42BA" w:rsidRPr="00301148" w:rsidTr="006D664E">
        <w:trPr>
          <w:trHeight w:val="903"/>
        </w:trPr>
        <w:tc>
          <w:tcPr>
            <w:tcW w:w="9775" w:type="dxa"/>
          </w:tcPr>
          <w:p w:rsidR="00AB42BA" w:rsidRPr="00CF7C0D" w:rsidRDefault="00AB42BA" w:rsidP="006D664E">
            <w:pPr>
              <w:pStyle w:val="titoloflash"/>
              <w:spacing w:before="60" w:after="40"/>
              <w:rPr>
                <w:rFonts w:ascii="PT Sans" w:hAnsi="PT Sans"/>
              </w:rPr>
            </w:pPr>
            <w:r w:rsidRPr="00CF7C0D">
              <w:rPr>
                <w:rFonts w:ascii="PT Sans" w:hAnsi="PT Sans"/>
              </w:rPr>
              <w:t xml:space="preserve">Approvati i primi 69 indici di affidabilità fiscale (ISA) </w:t>
            </w:r>
          </w:p>
          <w:p w:rsidR="00AB42BA" w:rsidRPr="00CF7C0D" w:rsidRDefault="00AB42BA" w:rsidP="006D664E">
            <w:pPr>
              <w:pStyle w:val="testoflash"/>
              <w:rPr>
                <w:rFonts w:ascii="PT Sans" w:hAnsi="PT Sans"/>
              </w:rPr>
            </w:pPr>
            <w:r w:rsidRPr="00CF7C0D">
              <w:rPr>
                <w:rFonts w:ascii="PT Sans" w:hAnsi="PT Sans"/>
              </w:rPr>
              <w:t>Ai sensi dell’art</w:t>
            </w:r>
            <w:r>
              <w:rPr>
                <w:rFonts w:ascii="PT Sans" w:hAnsi="PT Sans"/>
              </w:rPr>
              <w:t xml:space="preserve">icolo </w:t>
            </w:r>
            <w:r w:rsidRPr="00CF7C0D">
              <w:rPr>
                <w:rFonts w:ascii="PT Sans" w:hAnsi="PT Sans"/>
              </w:rPr>
              <w:t>9-</w:t>
            </w:r>
            <w:r w:rsidRPr="00CF7C0D">
              <w:rPr>
                <w:rFonts w:ascii="PT Sans" w:hAnsi="PT Sans"/>
                <w:i/>
              </w:rPr>
              <w:t>bis</w:t>
            </w:r>
            <w:r>
              <w:rPr>
                <w:rFonts w:ascii="PT Sans" w:hAnsi="PT Sans"/>
              </w:rPr>
              <w:t>,</w:t>
            </w:r>
            <w:r w:rsidRPr="00CF7C0D">
              <w:rPr>
                <w:rFonts w:ascii="PT Sans" w:hAnsi="PT Sans"/>
              </w:rPr>
              <w:t xml:space="preserve"> D.L. 50/2017 dal periodo di imposta 2018 cesseranno di produrre effetti le disposizioni normative relative all’applicazione dei parametri e degli studi di settore. Il decreto del 23 marzo 2018 ha fissato la soglia massima di ricavi o compensi per l’applicazione degli ISA a 5.164.569 euro, approvando i primi 69 indici sintetici di affidabilità fiscale, dei quali 29 riguardanti il commercio, 8 relativi alle professioni, 17 per l’area dei servizi e 15 per il comparto manifatturiero. Viene esplicitato nel decreto che i contribuenti potranno dichiarare ulteriori componenti positivi rilevanti per la determinazione della base imponibile delle imposte sui redditi, dell’Irap e ai fini Iva, per migliorare il proprio profilo di affidabilità fiscale.</w:t>
            </w:r>
          </w:p>
          <w:p w:rsidR="00AB42BA" w:rsidRPr="00301148" w:rsidRDefault="00AB42BA" w:rsidP="006D664E">
            <w:pPr>
              <w:pStyle w:val="fonteflash"/>
              <w:rPr>
                <w:rFonts w:ascii="PT Sans" w:hAnsi="PT Sans"/>
              </w:rPr>
            </w:pPr>
            <w:r w:rsidRPr="00E85A4B">
              <w:rPr>
                <w:b w:val="0"/>
                <w:bCs w:val="0"/>
              </w:rPr>
              <w:t xml:space="preserve"> </w:t>
            </w:r>
            <w:r w:rsidRPr="00CF7C0D">
              <w:rPr>
                <w:rFonts w:ascii="PT Sans" w:hAnsi="PT Sans"/>
              </w:rPr>
              <w:t>(Ministero dell’economia e delle finanze, Decreto 23/03/2018, G.U. n.</w:t>
            </w:r>
            <w:r>
              <w:rPr>
                <w:rFonts w:ascii="PT Sans" w:hAnsi="PT Sans"/>
              </w:rPr>
              <w:t xml:space="preserve"> </w:t>
            </w:r>
            <w:r w:rsidRPr="00CF7C0D">
              <w:rPr>
                <w:rFonts w:ascii="PT Sans" w:hAnsi="PT Sans"/>
              </w:rPr>
              <w:t>85 del 12/04/2018)</w:t>
            </w:r>
          </w:p>
        </w:tc>
      </w:tr>
      <w:bookmarkEnd w:id="1"/>
      <w:bookmarkEnd w:id="2"/>
    </w:tbl>
    <w:p w:rsidR="00AB42BA" w:rsidRPr="00CF7C0D" w:rsidRDefault="00AB42BA" w:rsidP="00AB42BA">
      <w:pPr>
        <w:tabs>
          <w:tab w:val="left" w:pos="6675"/>
        </w:tabs>
        <w:rPr>
          <w:rFonts w:ascii="PT Sans" w:hAnsi="PT Sans"/>
          <w:sz w:val="18"/>
        </w:rPr>
      </w:pPr>
    </w:p>
    <w:p w:rsidR="00AB42BA" w:rsidRPr="00CF7C0D" w:rsidRDefault="00AB42BA" w:rsidP="00AB42BA">
      <w:pPr>
        <w:tabs>
          <w:tab w:val="left" w:pos="6675"/>
        </w:tabs>
        <w:rPr>
          <w:rFonts w:ascii="PT Sans" w:hAnsi="PT Sans"/>
          <w:sz w:val="18"/>
        </w:rPr>
      </w:pPr>
    </w:p>
    <w:tbl>
      <w:tblPr>
        <w:tblW w:w="0" w:type="auto"/>
        <w:tblBorders>
          <w:top w:val="single" w:sz="4" w:space="0" w:color="006EB7"/>
          <w:left w:val="single" w:sz="4" w:space="0" w:color="006EB7"/>
          <w:bottom w:val="single" w:sz="4" w:space="0" w:color="006EB7"/>
          <w:right w:val="single" w:sz="4" w:space="0" w:color="006EB7"/>
          <w:insideH w:val="single" w:sz="4" w:space="0" w:color="006EB7"/>
          <w:insideV w:val="single" w:sz="4" w:space="0" w:color="006EB7"/>
        </w:tblBorders>
        <w:tblLook w:val="01E0" w:firstRow="1" w:lastRow="1" w:firstColumn="1" w:lastColumn="1" w:noHBand="0" w:noVBand="0"/>
      </w:tblPr>
      <w:tblGrid>
        <w:gridCol w:w="9775"/>
      </w:tblGrid>
      <w:tr w:rsidR="00AB42BA" w:rsidRPr="00CF7C0D" w:rsidTr="006D664E">
        <w:trPr>
          <w:trHeight w:val="340"/>
        </w:trPr>
        <w:tc>
          <w:tcPr>
            <w:tcW w:w="9775" w:type="dxa"/>
            <w:shd w:val="clear" w:color="auto" w:fill="006EB7"/>
            <w:vAlign w:val="center"/>
          </w:tcPr>
          <w:p w:rsidR="00AB42BA" w:rsidRPr="00CF7C0D" w:rsidRDefault="00AB42BA" w:rsidP="006D664E">
            <w:pPr>
              <w:jc w:val="center"/>
              <w:rPr>
                <w:rFonts w:ascii="PT Sans" w:hAnsi="PT Sans"/>
                <w:b/>
                <w:bCs/>
                <w:iCs/>
                <w:smallCaps/>
                <w:color w:val="FFFFFF"/>
                <w:sz w:val="26"/>
                <w:szCs w:val="26"/>
              </w:rPr>
            </w:pPr>
            <w:r w:rsidRPr="00CF7C0D">
              <w:rPr>
                <w:rFonts w:ascii="PT Sans" w:hAnsi="PT Sans"/>
                <w:b/>
                <w:bCs/>
                <w:iCs/>
                <w:smallCaps/>
                <w:color w:val="FFFFFF"/>
                <w:sz w:val="26"/>
                <w:szCs w:val="26"/>
              </w:rPr>
              <w:t>FATTURAZIONE ELETTRONICA</w:t>
            </w:r>
          </w:p>
        </w:tc>
      </w:tr>
      <w:tr w:rsidR="00AB42BA" w:rsidRPr="00CF7C0D" w:rsidTr="006D664E">
        <w:trPr>
          <w:trHeight w:val="557"/>
        </w:trPr>
        <w:tc>
          <w:tcPr>
            <w:tcW w:w="9775" w:type="dxa"/>
          </w:tcPr>
          <w:p w:rsidR="00AB42BA" w:rsidRPr="00CF7C0D" w:rsidRDefault="00AB42BA" w:rsidP="006D664E">
            <w:pPr>
              <w:pStyle w:val="titoloflash"/>
              <w:spacing w:before="60" w:after="40"/>
              <w:rPr>
                <w:rFonts w:ascii="PT Sans" w:hAnsi="PT Sans"/>
              </w:rPr>
            </w:pPr>
            <w:r w:rsidRPr="00CF7C0D">
              <w:rPr>
                <w:rFonts w:ascii="PT Sans" w:hAnsi="PT Sans"/>
              </w:rPr>
              <w:t>Via libera dall’Europa all’introduzione della fattura elettronica generalizzata</w:t>
            </w:r>
          </w:p>
          <w:p w:rsidR="00AB42BA" w:rsidRPr="00CF7C0D" w:rsidRDefault="00AB42BA" w:rsidP="006D664E">
            <w:pPr>
              <w:shd w:val="clear" w:color="auto" w:fill="FFFFFF"/>
              <w:jc w:val="both"/>
              <w:rPr>
                <w:rFonts w:ascii="PT Sans" w:hAnsi="PT Sans" w:cs="Calibri"/>
                <w:color w:val="000000"/>
                <w:szCs w:val="22"/>
              </w:rPr>
            </w:pPr>
            <w:r w:rsidRPr="00CF7C0D">
              <w:rPr>
                <w:rFonts w:ascii="PT Sans" w:hAnsi="PT Sans" w:cs="Calibri"/>
                <w:szCs w:val="22"/>
              </w:rPr>
              <w:t xml:space="preserve">Lo scorso 27 settembre 2017 l’Italia ha chiesto alla Commissione europea una deroga per introdurre nel nostro ordinamento un sistema di fatturazione elettronica obbligatoria per i soggetti Iva (esclusi minimi e forfettari). La Legge di Bilancio per il 2018, anticipando la risposta delle autorità europee, ha previsto l’obbligo di fatturazione elettronica dal 1° gennaio 2019 tra gli operatori economici “privati”, con </w:t>
            </w:r>
            <w:r w:rsidRPr="001C16F8">
              <w:rPr>
                <w:rFonts w:ascii="PT Sans" w:hAnsi="PT Sans" w:cs="Calibri"/>
                <w:szCs w:val="22"/>
              </w:rPr>
              <w:t xml:space="preserve">ulteriore </w:t>
            </w:r>
            <w:r w:rsidRPr="00CF7C0D">
              <w:rPr>
                <w:rFonts w:ascii="PT Sans" w:hAnsi="PT Sans" w:cs="Calibri"/>
                <w:szCs w:val="22"/>
              </w:rPr>
              <w:t xml:space="preserve">anticipo alla data del 1° luglio 2018 per quanto riguarda le fatture relative alle cessioni di benzina o di gasolio destinati ad essere utilizzati come carburanti e </w:t>
            </w:r>
            <w:r w:rsidRPr="00CF7C0D">
              <w:rPr>
                <w:rFonts w:ascii="PT Sans" w:hAnsi="PT Sans" w:cs="Calibri"/>
                <w:color w:val="000000"/>
                <w:szCs w:val="22"/>
              </w:rPr>
              <w:t>alle prestazioni rese da soggetti subappaltatori e subcontraenti della filiera delle imprese, nel quadro di un contratto di appalto di lavori, servizi o forniture stipulato con una pubblica amministrazione.</w:t>
            </w:r>
            <w:r>
              <w:rPr>
                <w:rFonts w:ascii="PT Sans" w:hAnsi="PT Sans" w:cs="Calibri"/>
                <w:color w:val="000000"/>
                <w:szCs w:val="22"/>
              </w:rPr>
              <w:t xml:space="preserve"> </w:t>
            </w:r>
            <w:r w:rsidRPr="00CF7C0D">
              <w:rPr>
                <w:rFonts w:ascii="PT Sans" w:hAnsi="PT Sans" w:cs="Calibri"/>
                <w:color w:val="000000"/>
                <w:szCs w:val="22"/>
              </w:rPr>
              <w:t>L’Unione Europea ha autorizzato l’Italia con la decisione in commento ad accettare come fatture documenti o messaggi solo in formato elettronico se sono emessi da soggetti passivi stabiliti sul territorio e a disporre che l’uso delle fatture elettroniche emesse da soggetti passivi stabiliti sul territorio italiano non sia subordinato all’accordo de</w:t>
            </w:r>
            <w:r>
              <w:rPr>
                <w:rFonts w:ascii="PT Sans" w:hAnsi="PT Sans" w:cs="Calibri"/>
                <w:color w:val="000000"/>
                <w:szCs w:val="22"/>
              </w:rPr>
              <w:t>i</w:t>
            </w:r>
            <w:r w:rsidRPr="00CF7C0D">
              <w:rPr>
                <w:rFonts w:ascii="PT Sans" w:hAnsi="PT Sans" w:cs="Calibri"/>
                <w:color w:val="000000"/>
                <w:szCs w:val="22"/>
              </w:rPr>
              <w:t xml:space="preserve"> destinatari. L’autorizzazione ha effetto dal 1° luglio 2018 al 31 dicembre 2021.</w:t>
            </w:r>
          </w:p>
          <w:p w:rsidR="00AB42BA" w:rsidRPr="00CF7C0D" w:rsidRDefault="00AB42BA" w:rsidP="006D664E">
            <w:pPr>
              <w:spacing w:before="60" w:after="40"/>
              <w:jc w:val="right"/>
              <w:rPr>
                <w:rFonts w:ascii="PT Sans" w:hAnsi="PT Sans"/>
                <w:sz w:val="20"/>
                <w:szCs w:val="20"/>
              </w:rPr>
            </w:pPr>
            <w:r w:rsidRPr="00CF7C0D">
              <w:rPr>
                <w:rFonts w:ascii="PT Sans" w:hAnsi="PT Sans"/>
                <w:b/>
                <w:bCs/>
                <w:sz w:val="20"/>
                <w:szCs w:val="20"/>
              </w:rPr>
              <w:t>(Consiglio Unione Europea, Decisione UE n.</w:t>
            </w:r>
            <w:r>
              <w:rPr>
                <w:rFonts w:ascii="PT Sans" w:hAnsi="PT Sans"/>
                <w:b/>
                <w:bCs/>
                <w:sz w:val="20"/>
                <w:szCs w:val="20"/>
              </w:rPr>
              <w:t xml:space="preserve"> </w:t>
            </w:r>
            <w:r w:rsidRPr="00CF7C0D">
              <w:rPr>
                <w:rFonts w:ascii="PT Sans" w:hAnsi="PT Sans"/>
                <w:b/>
                <w:bCs/>
                <w:sz w:val="20"/>
                <w:szCs w:val="20"/>
              </w:rPr>
              <w:t>2018/593, G.U. dell’UE n.</w:t>
            </w:r>
            <w:r>
              <w:rPr>
                <w:rFonts w:ascii="PT Sans" w:hAnsi="PT Sans"/>
                <w:b/>
                <w:bCs/>
                <w:sz w:val="20"/>
                <w:szCs w:val="20"/>
              </w:rPr>
              <w:t xml:space="preserve"> </w:t>
            </w:r>
            <w:r w:rsidRPr="00CF7C0D">
              <w:rPr>
                <w:rFonts w:ascii="PT Sans" w:hAnsi="PT Sans"/>
                <w:b/>
                <w:bCs/>
                <w:sz w:val="20"/>
                <w:szCs w:val="20"/>
              </w:rPr>
              <w:t>L99 del 19/04/2018)</w:t>
            </w:r>
          </w:p>
        </w:tc>
      </w:tr>
    </w:tbl>
    <w:p w:rsidR="00AB42BA" w:rsidRPr="00077FE1" w:rsidRDefault="00AB42BA" w:rsidP="00AB42BA">
      <w:pPr>
        <w:tabs>
          <w:tab w:val="left" w:pos="6675"/>
        </w:tabs>
        <w:rPr>
          <w:rFonts w:ascii="PT Sans" w:hAnsi="PT Sans"/>
          <w:b/>
          <w:bCs/>
          <w:iCs/>
          <w:smallCaps/>
          <w:color w:val="000000"/>
          <w:sz w:val="18"/>
          <w:szCs w:val="20"/>
        </w:rPr>
      </w:pPr>
    </w:p>
    <w:p w:rsidR="00AB42BA" w:rsidRPr="00077FE1" w:rsidRDefault="00AB42BA" w:rsidP="00AB42BA">
      <w:pPr>
        <w:tabs>
          <w:tab w:val="left" w:pos="6675"/>
        </w:tabs>
        <w:rPr>
          <w:rFonts w:ascii="PT Sans" w:hAnsi="PT Sans"/>
          <w:b/>
          <w:bCs/>
          <w:iCs/>
          <w:smallCaps/>
          <w:color w:val="000000"/>
          <w:sz w:val="18"/>
          <w:szCs w:val="20"/>
        </w:rPr>
      </w:pPr>
    </w:p>
    <w:tbl>
      <w:tblPr>
        <w:tblW w:w="0" w:type="auto"/>
        <w:tblBorders>
          <w:top w:val="single" w:sz="4" w:space="0" w:color="006EB7"/>
          <w:left w:val="single" w:sz="4" w:space="0" w:color="006EB7"/>
          <w:bottom w:val="single" w:sz="4" w:space="0" w:color="006EB7"/>
          <w:right w:val="single" w:sz="4" w:space="0" w:color="006EB7"/>
          <w:insideH w:val="single" w:sz="4" w:space="0" w:color="006EB7"/>
          <w:insideV w:val="single" w:sz="4" w:space="0" w:color="006EB7"/>
        </w:tblBorders>
        <w:tblLook w:val="01E0" w:firstRow="1" w:lastRow="1" w:firstColumn="1" w:lastColumn="1" w:noHBand="0" w:noVBand="0"/>
      </w:tblPr>
      <w:tblGrid>
        <w:gridCol w:w="9775"/>
      </w:tblGrid>
      <w:tr w:rsidR="00AB42BA" w:rsidRPr="00CF7C0D" w:rsidTr="006D664E">
        <w:trPr>
          <w:trHeight w:val="340"/>
        </w:trPr>
        <w:tc>
          <w:tcPr>
            <w:tcW w:w="9775" w:type="dxa"/>
            <w:shd w:val="clear" w:color="auto" w:fill="006EB7"/>
            <w:vAlign w:val="center"/>
          </w:tcPr>
          <w:p w:rsidR="00AB42BA" w:rsidRPr="00CF7C0D" w:rsidRDefault="00AB42BA" w:rsidP="006D664E">
            <w:pPr>
              <w:jc w:val="center"/>
              <w:rPr>
                <w:rFonts w:ascii="PT Sans" w:hAnsi="PT Sans"/>
                <w:b/>
                <w:bCs/>
                <w:i/>
                <w:iCs/>
                <w:smallCaps/>
                <w:color w:val="FFFFFF"/>
                <w:sz w:val="26"/>
                <w:szCs w:val="26"/>
              </w:rPr>
            </w:pPr>
            <w:r w:rsidRPr="00CF7C0D">
              <w:rPr>
                <w:rFonts w:ascii="PT Sans" w:hAnsi="PT Sans"/>
                <w:b/>
                <w:bCs/>
                <w:i/>
                <w:iCs/>
                <w:smallCaps/>
                <w:color w:val="FFFFFF"/>
                <w:sz w:val="26"/>
                <w:szCs w:val="26"/>
              </w:rPr>
              <w:t>SISMABONUS</w:t>
            </w:r>
          </w:p>
        </w:tc>
      </w:tr>
      <w:tr w:rsidR="00AB42BA" w:rsidRPr="00CF7C0D" w:rsidTr="006D664E">
        <w:trPr>
          <w:trHeight w:val="903"/>
        </w:trPr>
        <w:tc>
          <w:tcPr>
            <w:tcW w:w="9775" w:type="dxa"/>
          </w:tcPr>
          <w:p w:rsidR="00AB42BA" w:rsidRPr="00CF7C0D" w:rsidRDefault="00AB42BA" w:rsidP="006D664E">
            <w:pPr>
              <w:pStyle w:val="titoloflash"/>
              <w:spacing w:before="60" w:after="40"/>
              <w:jc w:val="both"/>
              <w:rPr>
                <w:rFonts w:ascii="PT Sans" w:hAnsi="PT Sans"/>
              </w:rPr>
            </w:pPr>
            <w:r w:rsidRPr="00CF7C0D">
              <w:rPr>
                <w:rFonts w:ascii="PT Sans" w:hAnsi="PT Sans"/>
              </w:rPr>
              <w:t>Detrazione per l’adozione di misure antisismiche anche nel caso di demolizione e fedele ricostruzione</w:t>
            </w:r>
          </w:p>
          <w:p w:rsidR="00AB42BA" w:rsidRPr="00CF7C0D" w:rsidRDefault="00AB42BA" w:rsidP="006D664E">
            <w:pPr>
              <w:autoSpaceDE w:val="0"/>
              <w:autoSpaceDN w:val="0"/>
              <w:adjustRightInd w:val="0"/>
              <w:jc w:val="both"/>
              <w:rPr>
                <w:rFonts w:ascii="PT Sans" w:hAnsi="PT Sans" w:cs="Calibri"/>
                <w:szCs w:val="22"/>
              </w:rPr>
            </w:pPr>
            <w:r w:rsidRPr="00CF7C0D">
              <w:rPr>
                <w:rFonts w:ascii="PT Sans" w:hAnsi="PT Sans" w:cs="Calibri"/>
                <w:szCs w:val="22"/>
              </w:rPr>
              <w:t xml:space="preserve">L’agevolazione per interventi di miglioramento sismico degli edifici </w:t>
            </w:r>
            <w:r w:rsidRPr="00C42A03">
              <w:rPr>
                <w:rFonts w:ascii="PT Sans" w:hAnsi="PT Sans" w:cs="Calibri"/>
                <w:szCs w:val="22"/>
              </w:rPr>
              <w:t xml:space="preserve">(detrazione Irpef/Ires) </w:t>
            </w:r>
            <w:r w:rsidRPr="00CF7C0D">
              <w:rPr>
                <w:rFonts w:ascii="PT Sans" w:hAnsi="PT Sans" w:cs="Calibri"/>
                <w:szCs w:val="22"/>
              </w:rPr>
              <w:t>può essere fruita anche da coloro che, possedendo o detenendo l’immobile in base a</w:t>
            </w:r>
            <w:r>
              <w:rPr>
                <w:rFonts w:ascii="PT Sans" w:hAnsi="PT Sans" w:cs="Calibri"/>
                <w:szCs w:val="22"/>
              </w:rPr>
              <w:t>d</w:t>
            </w:r>
            <w:r w:rsidRPr="00CF7C0D">
              <w:rPr>
                <w:rFonts w:ascii="PT Sans" w:hAnsi="PT Sans" w:cs="Calibri"/>
                <w:szCs w:val="22"/>
              </w:rPr>
              <w:t xml:space="preserve"> un titolo idoneo, decidono di demolirlo e ricostruirlo con la stessa volumetria di quello preesistente. Tale intervento, infatti</w:t>
            </w:r>
            <w:r>
              <w:rPr>
                <w:rFonts w:ascii="PT Sans" w:hAnsi="PT Sans" w:cs="Calibri"/>
                <w:szCs w:val="22"/>
              </w:rPr>
              <w:t>,</w:t>
            </w:r>
            <w:r w:rsidRPr="00CF7C0D">
              <w:rPr>
                <w:rFonts w:ascii="PT Sans" w:hAnsi="PT Sans" w:cs="Calibri"/>
                <w:szCs w:val="22"/>
              </w:rPr>
              <w:t xml:space="preserve"> rientra tra quelli di ristrutturazione edilizia e non di nuova costruzione. In risposta all’interpello di tre comproprietari, inoltre, viene chiarito che questi soggetti possono dividere le spese in proporzione alla spesa sostenuta da ciascuno. Infine, la risoluzione afferma che ai lavori di demolizione con ricostruzione si applica l’aliquota Iva agevolata del 10</w:t>
            </w:r>
            <w:r>
              <w:rPr>
                <w:rFonts w:ascii="PT Sans" w:hAnsi="PT Sans" w:cs="Calibri"/>
                <w:szCs w:val="22"/>
              </w:rPr>
              <w:t>%</w:t>
            </w:r>
            <w:r w:rsidRPr="00CF7C0D">
              <w:rPr>
                <w:rFonts w:ascii="PT Sans" w:hAnsi="PT Sans" w:cs="Calibri"/>
                <w:szCs w:val="22"/>
              </w:rPr>
              <w:t xml:space="preserve"> prevista per gli interventi di ristrutturazione edilizia, a condizione che le opere siano qualificate come tali dalla relativa documentazione amministrativa. </w:t>
            </w:r>
          </w:p>
          <w:p w:rsidR="00AB42BA" w:rsidRPr="00CF7C0D" w:rsidRDefault="00AB42BA" w:rsidP="006D664E">
            <w:pPr>
              <w:autoSpaceDE w:val="0"/>
              <w:autoSpaceDN w:val="0"/>
              <w:adjustRightInd w:val="0"/>
              <w:jc w:val="right"/>
              <w:rPr>
                <w:rFonts w:ascii="PT Sans" w:hAnsi="PT Sans"/>
                <w:b/>
                <w:bCs/>
                <w:sz w:val="20"/>
                <w:szCs w:val="20"/>
              </w:rPr>
            </w:pPr>
            <w:r w:rsidRPr="00CF7C0D">
              <w:rPr>
                <w:rFonts w:ascii="PT Sans" w:hAnsi="PT Sans"/>
                <w:b/>
                <w:bCs/>
                <w:sz w:val="20"/>
                <w:szCs w:val="20"/>
              </w:rPr>
              <w:t xml:space="preserve">(Agenzia delle entrate, </w:t>
            </w:r>
            <w:r>
              <w:rPr>
                <w:rFonts w:ascii="PT Sans" w:hAnsi="PT Sans"/>
                <w:b/>
                <w:bCs/>
                <w:sz w:val="20"/>
                <w:szCs w:val="20"/>
              </w:rPr>
              <w:t>r</w:t>
            </w:r>
            <w:r w:rsidRPr="00CF7C0D">
              <w:rPr>
                <w:rFonts w:ascii="PT Sans" w:hAnsi="PT Sans"/>
                <w:b/>
                <w:bCs/>
                <w:sz w:val="20"/>
                <w:szCs w:val="20"/>
              </w:rPr>
              <w:t>isoluzione n.</w:t>
            </w:r>
            <w:r>
              <w:rPr>
                <w:rFonts w:ascii="PT Sans" w:hAnsi="PT Sans"/>
                <w:b/>
                <w:bCs/>
                <w:sz w:val="20"/>
                <w:szCs w:val="20"/>
              </w:rPr>
              <w:t xml:space="preserve"> </w:t>
            </w:r>
            <w:r w:rsidRPr="00CF7C0D">
              <w:rPr>
                <w:rFonts w:ascii="PT Sans" w:hAnsi="PT Sans"/>
                <w:b/>
                <w:bCs/>
                <w:sz w:val="20"/>
                <w:szCs w:val="20"/>
              </w:rPr>
              <w:t>34, 27/04/2018)</w:t>
            </w:r>
          </w:p>
        </w:tc>
      </w:tr>
    </w:tbl>
    <w:p w:rsidR="00AB42BA" w:rsidRPr="00077FE1" w:rsidRDefault="00AB42BA" w:rsidP="00AB42BA">
      <w:pPr>
        <w:tabs>
          <w:tab w:val="left" w:pos="6675"/>
        </w:tabs>
        <w:rPr>
          <w:rFonts w:ascii="PT Sans" w:hAnsi="PT Sans"/>
          <w:b/>
          <w:bCs/>
          <w:iCs/>
          <w:smallCaps/>
          <w:color w:val="000000"/>
          <w:sz w:val="24"/>
          <w:szCs w:val="20"/>
        </w:rPr>
      </w:pPr>
    </w:p>
    <w:tbl>
      <w:tblPr>
        <w:tblW w:w="0" w:type="auto"/>
        <w:tblBorders>
          <w:top w:val="single" w:sz="4" w:space="0" w:color="006EB7"/>
          <w:left w:val="single" w:sz="4" w:space="0" w:color="006EB7"/>
          <w:bottom w:val="single" w:sz="4" w:space="0" w:color="006EB7"/>
          <w:right w:val="single" w:sz="4" w:space="0" w:color="006EB7"/>
          <w:insideH w:val="single" w:sz="4" w:space="0" w:color="006EB7"/>
          <w:insideV w:val="single" w:sz="4" w:space="0" w:color="006EB7"/>
        </w:tblBorders>
        <w:tblLook w:val="01E0" w:firstRow="1" w:lastRow="1" w:firstColumn="1" w:lastColumn="1" w:noHBand="0" w:noVBand="0"/>
      </w:tblPr>
      <w:tblGrid>
        <w:gridCol w:w="9775"/>
      </w:tblGrid>
      <w:tr w:rsidR="00AB42BA" w:rsidRPr="00CF7C0D" w:rsidTr="006D664E">
        <w:trPr>
          <w:trHeight w:val="340"/>
        </w:trPr>
        <w:tc>
          <w:tcPr>
            <w:tcW w:w="9775" w:type="dxa"/>
            <w:shd w:val="clear" w:color="auto" w:fill="006EB7"/>
            <w:vAlign w:val="center"/>
          </w:tcPr>
          <w:p w:rsidR="00AB42BA" w:rsidRPr="00CF7C0D" w:rsidRDefault="00AB42BA" w:rsidP="006D664E">
            <w:pPr>
              <w:jc w:val="center"/>
              <w:rPr>
                <w:rFonts w:ascii="PT Sans" w:hAnsi="PT Sans"/>
                <w:b/>
                <w:bCs/>
                <w:iCs/>
                <w:smallCaps/>
                <w:color w:val="FFFFFF"/>
                <w:sz w:val="26"/>
                <w:szCs w:val="26"/>
              </w:rPr>
            </w:pPr>
            <w:r w:rsidRPr="00CF7C0D">
              <w:rPr>
                <w:rFonts w:ascii="PT Sans" w:hAnsi="PT Sans"/>
                <w:b/>
                <w:bCs/>
                <w:i/>
                <w:iCs/>
                <w:smallCaps/>
                <w:color w:val="FFFFFF"/>
                <w:sz w:val="26"/>
                <w:szCs w:val="26"/>
              </w:rPr>
              <w:t>BONUS</w:t>
            </w:r>
            <w:r w:rsidRPr="00CF7C0D">
              <w:rPr>
                <w:rFonts w:ascii="PT Sans" w:hAnsi="PT Sans"/>
                <w:b/>
                <w:bCs/>
                <w:iCs/>
                <w:smallCaps/>
                <w:color w:val="FFFFFF"/>
                <w:sz w:val="26"/>
                <w:szCs w:val="26"/>
              </w:rPr>
              <w:t xml:space="preserve"> SUD</w:t>
            </w:r>
          </w:p>
        </w:tc>
      </w:tr>
      <w:tr w:rsidR="00AB42BA" w:rsidRPr="00CF7C0D" w:rsidTr="006D664E">
        <w:trPr>
          <w:trHeight w:val="903"/>
        </w:trPr>
        <w:tc>
          <w:tcPr>
            <w:tcW w:w="9775" w:type="dxa"/>
          </w:tcPr>
          <w:p w:rsidR="00AB42BA" w:rsidRPr="00CF7C0D" w:rsidRDefault="00AB42BA" w:rsidP="006D664E">
            <w:pPr>
              <w:pStyle w:val="titoloflash"/>
              <w:spacing w:before="60" w:after="40"/>
              <w:jc w:val="both"/>
              <w:rPr>
                <w:rFonts w:ascii="PT Sans" w:hAnsi="PT Sans"/>
              </w:rPr>
            </w:pPr>
            <w:r w:rsidRPr="00CF7C0D">
              <w:rPr>
                <w:rFonts w:ascii="PT Sans" w:hAnsi="PT Sans"/>
              </w:rPr>
              <w:lastRenderedPageBreak/>
              <w:t xml:space="preserve">Nuova procedura di ammissione al credito di imposta per gli investimenti nel Mezzogiorno </w:t>
            </w:r>
          </w:p>
          <w:p w:rsidR="00AB42BA" w:rsidRPr="005500F7" w:rsidRDefault="00AB42BA" w:rsidP="006D664E">
            <w:pPr>
              <w:pStyle w:val="NormaleWeb"/>
              <w:shd w:val="clear" w:color="auto" w:fill="FFFFFF"/>
              <w:spacing w:before="90" w:beforeAutospacing="0" w:after="90" w:afterAutospacing="0"/>
              <w:jc w:val="both"/>
              <w:rPr>
                <w:rFonts w:ascii="PT Sans" w:hAnsi="PT Sans" w:cs="Calibri"/>
                <w:color w:val="000000"/>
                <w:sz w:val="22"/>
                <w:szCs w:val="22"/>
                <w:shd w:val="clear" w:color="auto" w:fill="FFFFFF"/>
              </w:rPr>
            </w:pPr>
            <w:r w:rsidRPr="00CF7C0D">
              <w:rPr>
                <w:rFonts w:ascii="PT Sans" w:hAnsi="PT Sans"/>
                <w:bCs/>
                <w:sz w:val="22"/>
                <w:szCs w:val="22"/>
              </w:rPr>
              <w:t>L’art</w:t>
            </w:r>
            <w:r>
              <w:rPr>
                <w:rFonts w:ascii="PT Sans" w:hAnsi="PT Sans"/>
                <w:bCs/>
                <w:sz w:val="22"/>
                <w:szCs w:val="22"/>
              </w:rPr>
              <w:t xml:space="preserve">icolo </w:t>
            </w:r>
            <w:r w:rsidRPr="00CF7C0D">
              <w:rPr>
                <w:rFonts w:ascii="PT Sans" w:hAnsi="PT Sans"/>
                <w:bCs/>
                <w:sz w:val="22"/>
                <w:szCs w:val="22"/>
              </w:rPr>
              <w:t>1</w:t>
            </w:r>
            <w:r>
              <w:rPr>
                <w:rFonts w:ascii="PT Sans" w:hAnsi="PT Sans"/>
                <w:bCs/>
                <w:sz w:val="22"/>
                <w:szCs w:val="22"/>
              </w:rPr>
              <w:t>,</w:t>
            </w:r>
            <w:r w:rsidRPr="00CF7C0D">
              <w:rPr>
                <w:rFonts w:ascii="PT Sans" w:hAnsi="PT Sans"/>
                <w:bCs/>
                <w:sz w:val="22"/>
                <w:szCs w:val="22"/>
              </w:rPr>
              <w:t xml:space="preserve"> co</w:t>
            </w:r>
            <w:r>
              <w:rPr>
                <w:rFonts w:ascii="PT Sans" w:hAnsi="PT Sans"/>
                <w:bCs/>
                <w:sz w:val="22"/>
                <w:szCs w:val="22"/>
              </w:rPr>
              <w:t xml:space="preserve">mmi </w:t>
            </w:r>
            <w:r w:rsidRPr="00CF7C0D">
              <w:rPr>
                <w:rFonts w:ascii="PT Sans" w:hAnsi="PT Sans"/>
                <w:bCs/>
                <w:sz w:val="22"/>
                <w:szCs w:val="22"/>
              </w:rPr>
              <w:t>98-108</w:t>
            </w:r>
            <w:r>
              <w:rPr>
                <w:rFonts w:ascii="PT Sans" w:hAnsi="PT Sans"/>
                <w:bCs/>
                <w:sz w:val="22"/>
                <w:szCs w:val="22"/>
              </w:rPr>
              <w:t>,</w:t>
            </w:r>
            <w:r w:rsidRPr="00CF7C0D">
              <w:rPr>
                <w:rFonts w:ascii="PT Sans" w:hAnsi="PT Sans"/>
                <w:bCs/>
                <w:sz w:val="22"/>
                <w:szCs w:val="22"/>
              </w:rPr>
              <w:t xml:space="preserve"> L. 208/2015 ha previsto l’attribuzione di un credito di imposta a favore delle imprese che effettuano investimenti al </w:t>
            </w:r>
            <w:r>
              <w:rPr>
                <w:rFonts w:ascii="PT Sans" w:hAnsi="PT Sans"/>
                <w:bCs/>
                <w:sz w:val="22"/>
                <w:szCs w:val="22"/>
              </w:rPr>
              <w:t>s</w:t>
            </w:r>
            <w:r w:rsidRPr="00CF7C0D">
              <w:rPr>
                <w:rFonts w:ascii="PT Sans" w:hAnsi="PT Sans"/>
                <w:bCs/>
                <w:sz w:val="22"/>
                <w:szCs w:val="22"/>
              </w:rPr>
              <w:t xml:space="preserve">ud dal 1° gennaio 2016 al 31 dicembre 2019 mediante l’acquisizione di particolari beni strumentali nuovi destinati a strutture produttive ubicate nelle zone assistite di Campania, Puglia, Basilicata, Calabria, Sicilia, Molise, Sardegna e Abruzzo. </w:t>
            </w:r>
            <w:r w:rsidRPr="00CF7C0D">
              <w:rPr>
                <w:rFonts w:ascii="PT Sans" w:hAnsi="PT Sans" w:cs="Calibri"/>
                <w:color w:val="000000"/>
                <w:sz w:val="22"/>
                <w:szCs w:val="22"/>
                <w:shd w:val="clear" w:color="auto" w:fill="FFFFFF"/>
              </w:rPr>
              <w:t>Il decreto direttoriale del MiSe disciplina la procedura di ammissione alle risorse dei progetti di investimento delle piccole e medie imprese beneficiarie del credito d’imposta (le Pmi, cioè, che hanno già ricevuto l’autorizzazione da parte dell’Agenzia delle entrate) alla luce delle modifiche introdotte dal D.L. 243/2016, nonché dai provvedimenti 14 aprile 2017 e 29 dicembre 2017. In particolare, le nuove disposizioni si applicano ai progetti che comprendono investimenti effettuati dalle Pmi beneficiarie a partire dal 1° marzo 2017.</w:t>
            </w:r>
            <w:r>
              <w:rPr>
                <w:rFonts w:ascii="PT Sans" w:hAnsi="PT Sans" w:cs="Calibri"/>
                <w:color w:val="000000"/>
                <w:sz w:val="22"/>
                <w:szCs w:val="22"/>
                <w:shd w:val="clear" w:color="auto" w:fill="FFFFFF"/>
              </w:rPr>
              <w:t xml:space="preserve"> </w:t>
            </w:r>
            <w:r w:rsidRPr="00CF7C0D">
              <w:rPr>
                <w:rFonts w:ascii="PT Sans" w:hAnsi="PT Sans" w:cs="Calibri"/>
                <w:color w:val="000000"/>
                <w:sz w:val="22"/>
                <w:szCs w:val="22"/>
                <w:shd w:val="clear" w:color="auto" w:fill="FFFFFF"/>
              </w:rPr>
              <w:t>I progetti che comprendono esclusivamente investimenti effettuati prima del 1° marzo 2017 restano disciplinati dal decreto direttoriale 4 gennaio 2017, salvo quanto previsto per gli investimenti effettuati nella regione Sardegna e per gli adempimenti a cui sono tenute le Pmi beneficiarie.</w:t>
            </w:r>
          </w:p>
          <w:p w:rsidR="00AB42BA" w:rsidRPr="00CF7C0D" w:rsidRDefault="00AB42BA" w:rsidP="006D664E">
            <w:pPr>
              <w:pStyle w:val="NormaleWeb"/>
              <w:shd w:val="clear" w:color="auto" w:fill="FFFFFF"/>
              <w:spacing w:before="90" w:beforeAutospacing="0" w:after="90" w:afterAutospacing="0"/>
              <w:jc w:val="right"/>
              <w:rPr>
                <w:rFonts w:ascii="PT Sans" w:hAnsi="PT Sans"/>
                <w:b/>
                <w:bCs/>
                <w:sz w:val="20"/>
                <w:szCs w:val="20"/>
              </w:rPr>
            </w:pPr>
            <w:r w:rsidRPr="00CF7C0D">
              <w:rPr>
                <w:rFonts w:ascii="PT Sans" w:hAnsi="PT Sans"/>
                <w:bCs/>
                <w:sz w:val="22"/>
                <w:szCs w:val="22"/>
              </w:rPr>
              <w:t xml:space="preserve">  </w:t>
            </w:r>
            <w:r w:rsidRPr="00CF7C0D">
              <w:rPr>
                <w:rFonts w:ascii="PT Sans" w:hAnsi="PT Sans"/>
                <w:b/>
                <w:bCs/>
                <w:sz w:val="20"/>
                <w:szCs w:val="20"/>
              </w:rPr>
              <w:t xml:space="preserve"> (Ministero dello sviluppo economico, Decreto, 23/04/2018)</w:t>
            </w:r>
          </w:p>
        </w:tc>
      </w:tr>
    </w:tbl>
    <w:p w:rsidR="00AB42BA" w:rsidRPr="00CF7C0D" w:rsidRDefault="00AB42BA" w:rsidP="00AB42BA">
      <w:pPr>
        <w:tabs>
          <w:tab w:val="left" w:pos="6675"/>
        </w:tabs>
        <w:rPr>
          <w:rFonts w:ascii="PT Sans" w:hAnsi="PT Sans"/>
        </w:rPr>
      </w:pPr>
    </w:p>
    <w:tbl>
      <w:tblPr>
        <w:tblW w:w="0" w:type="auto"/>
        <w:tblBorders>
          <w:top w:val="single" w:sz="4" w:space="0" w:color="006EB7"/>
          <w:left w:val="single" w:sz="4" w:space="0" w:color="006EB7"/>
          <w:bottom w:val="single" w:sz="4" w:space="0" w:color="006EB7"/>
          <w:right w:val="single" w:sz="4" w:space="0" w:color="006EB7"/>
          <w:insideH w:val="single" w:sz="4" w:space="0" w:color="006EB7"/>
          <w:insideV w:val="single" w:sz="4" w:space="0" w:color="006EB7"/>
        </w:tblBorders>
        <w:tblLook w:val="01E0" w:firstRow="1" w:lastRow="1" w:firstColumn="1" w:lastColumn="1" w:noHBand="0" w:noVBand="0"/>
      </w:tblPr>
      <w:tblGrid>
        <w:gridCol w:w="9775"/>
      </w:tblGrid>
      <w:tr w:rsidR="00AB42BA" w:rsidRPr="00CF7C0D" w:rsidTr="006D664E">
        <w:trPr>
          <w:trHeight w:val="340"/>
        </w:trPr>
        <w:tc>
          <w:tcPr>
            <w:tcW w:w="9775" w:type="dxa"/>
            <w:shd w:val="clear" w:color="auto" w:fill="006EB7"/>
            <w:vAlign w:val="center"/>
          </w:tcPr>
          <w:p w:rsidR="00AB42BA" w:rsidRPr="00CF7C0D" w:rsidRDefault="00AB42BA" w:rsidP="006D664E">
            <w:pPr>
              <w:jc w:val="center"/>
              <w:rPr>
                <w:rFonts w:ascii="PT Sans" w:hAnsi="PT Sans"/>
                <w:b/>
                <w:bCs/>
                <w:iCs/>
                <w:smallCaps/>
                <w:color w:val="FFFFFF"/>
                <w:sz w:val="26"/>
                <w:szCs w:val="26"/>
              </w:rPr>
            </w:pPr>
            <w:r w:rsidRPr="00CF7C0D">
              <w:rPr>
                <w:rFonts w:ascii="PT Sans" w:hAnsi="PT Sans"/>
                <w:b/>
                <w:bCs/>
                <w:iCs/>
                <w:smallCaps/>
                <w:color w:val="FFFFFF"/>
                <w:sz w:val="26"/>
                <w:szCs w:val="26"/>
              </w:rPr>
              <w:t>ONERI DEDUCIBILI E DETRAIBILI</w:t>
            </w:r>
          </w:p>
        </w:tc>
      </w:tr>
      <w:tr w:rsidR="00AB42BA" w:rsidRPr="00CF7C0D" w:rsidTr="006D664E">
        <w:trPr>
          <w:trHeight w:val="903"/>
        </w:trPr>
        <w:tc>
          <w:tcPr>
            <w:tcW w:w="9775" w:type="dxa"/>
          </w:tcPr>
          <w:p w:rsidR="00AB42BA" w:rsidRPr="00CF7C0D" w:rsidRDefault="00AB42BA" w:rsidP="006D664E">
            <w:pPr>
              <w:spacing w:before="60" w:after="60"/>
              <w:rPr>
                <w:rFonts w:ascii="PT Sans" w:hAnsi="PT Sans"/>
                <w:b/>
                <w:bCs/>
                <w:szCs w:val="20"/>
              </w:rPr>
            </w:pPr>
            <w:r w:rsidRPr="00CF7C0D">
              <w:rPr>
                <w:rFonts w:ascii="PT Sans" w:hAnsi="PT Sans"/>
                <w:b/>
                <w:bCs/>
                <w:szCs w:val="20"/>
              </w:rPr>
              <w:t>Indicazioni sugli oneri, le ritenute ed i crediti di imposta da dichiarare per periodo di imposta 2017</w:t>
            </w:r>
          </w:p>
          <w:p w:rsidR="00AB42BA" w:rsidRPr="00CF7C0D" w:rsidRDefault="00AB42BA" w:rsidP="006D664E">
            <w:pPr>
              <w:pStyle w:val="NormaleWeb"/>
              <w:shd w:val="clear" w:color="auto" w:fill="FFFFFF"/>
              <w:spacing w:before="90" w:beforeAutospacing="0" w:after="90" w:afterAutospacing="0"/>
              <w:jc w:val="both"/>
              <w:rPr>
                <w:rFonts w:ascii="PT Sans" w:hAnsi="PT Sans"/>
                <w:bCs/>
                <w:sz w:val="22"/>
                <w:szCs w:val="22"/>
              </w:rPr>
            </w:pPr>
            <w:r w:rsidRPr="00CF7C0D">
              <w:rPr>
                <w:rFonts w:ascii="PT Sans" w:hAnsi="PT Sans"/>
                <w:bCs/>
                <w:sz w:val="22"/>
                <w:szCs w:val="22"/>
              </w:rPr>
              <w:t>L’Agenzia delle entrate ha trattato in una corposa circolare di 360 pagine le disposizioni riguardanti ritenute, oneri deducibili, oneri detraibili e crediti di imposta da dichiarare per i redditi delle persone fisiche. La circolare richiama i documenti di prassi da ritenersi ancora attuali e fornisce nuovi chiarimenti in merito alle modifiche normative intervenute, rilevanti per la dichiarazione dei redditi del periodo di imposta 2017.</w:t>
            </w:r>
          </w:p>
          <w:p w:rsidR="00AB42BA" w:rsidRPr="00CF7C0D" w:rsidRDefault="00AB42BA" w:rsidP="006D664E">
            <w:pPr>
              <w:pStyle w:val="NormaleWeb"/>
              <w:shd w:val="clear" w:color="auto" w:fill="FFFFFF"/>
              <w:spacing w:before="90" w:beforeAutospacing="0" w:after="90" w:afterAutospacing="0"/>
              <w:jc w:val="right"/>
              <w:rPr>
                <w:rFonts w:ascii="PT Sans" w:hAnsi="PT Sans"/>
                <w:b/>
                <w:bCs/>
                <w:sz w:val="20"/>
                <w:szCs w:val="20"/>
              </w:rPr>
            </w:pPr>
            <w:r w:rsidRPr="00CF7C0D">
              <w:rPr>
                <w:rFonts w:ascii="PT Sans" w:hAnsi="PT Sans"/>
                <w:b/>
                <w:bCs/>
                <w:sz w:val="20"/>
                <w:szCs w:val="20"/>
              </w:rPr>
              <w:t xml:space="preserve">(Agenzia delle entrate, </w:t>
            </w:r>
            <w:r>
              <w:rPr>
                <w:rFonts w:ascii="PT Sans" w:hAnsi="PT Sans"/>
                <w:b/>
                <w:bCs/>
                <w:sz w:val="20"/>
                <w:szCs w:val="20"/>
              </w:rPr>
              <w:t>c</w:t>
            </w:r>
            <w:r w:rsidRPr="00CF7C0D">
              <w:rPr>
                <w:rFonts w:ascii="PT Sans" w:hAnsi="PT Sans"/>
                <w:b/>
                <w:bCs/>
                <w:sz w:val="20"/>
                <w:szCs w:val="20"/>
              </w:rPr>
              <w:t>ircolare n.</w:t>
            </w:r>
            <w:r>
              <w:rPr>
                <w:rFonts w:ascii="PT Sans" w:hAnsi="PT Sans"/>
                <w:b/>
                <w:bCs/>
                <w:sz w:val="20"/>
                <w:szCs w:val="20"/>
              </w:rPr>
              <w:t xml:space="preserve"> </w:t>
            </w:r>
            <w:r w:rsidRPr="00CF7C0D">
              <w:rPr>
                <w:rFonts w:ascii="PT Sans" w:hAnsi="PT Sans"/>
                <w:b/>
                <w:bCs/>
                <w:sz w:val="20"/>
                <w:szCs w:val="20"/>
              </w:rPr>
              <w:t>7, 27/04/2018)</w:t>
            </w:r>
          </w:p>
        </w:tc>
      </w:tr>
    </w:tbl>
    <w:p w:rsidR="00AB42BA" w:rsidRPr="00CF7C0D" w:rsidRDefault="00AB42BA" w:rsidP="00AB42BA">
      <w:pPr>
        <w:tabs>
          <w:tab w:val="left" w:pos="6675"/>
        </w:tabs>
        <w:rPr>
          <w:rFonts w:ascii="PT Sans" w:hAnsi="PT Sans"/>
        </w:rPr>
      </w:pPr>
    </w:p>
    <w:tbl>
      <w:tblPr>
        <w:tblW w:w="0" w:type="auto"/>
        <w:tblBorders>
          <w:top w:val="single" w:sz="4" w:space="0" w:color="006EB7"/>
          <w:left w:val="single" w:sz="4" w:space="0" w:color="006EB7"/>
          <w:bottom w:val="single" w:sz="4" w:space="0" w:color="006EB7"/>
          <w:right w:val="single" w:sz="4" w:space="0" w:color="006EB7"/>
          <w:insideH w:val="single" w:sz="4" w:space="0" w:color="006EB7"/>
          <w:insideV w:val="single" w:sz="4" w:space="0" w:color="006EB7"/>
        </w:tblBorders>
        <w:tblLook w:val="01E0" w:firstRow="1" w:lastRow="1" w:firstColumn="1" w:lastColumn="1" w:noHBand="0" w:noVBand="0"/>
      </w:tblPr>
      <w:tblGrid>
        <w:gridCol w:w="9775"/>
      </w:tblGrid>
      <w:tr w:rsidR="00AB42BA" w:rsidRPr="00CF7C0D" w:rsidTr="006D664E">
        <w:trPr>
          <w:trHeight w:val="340"/>
        </w:trPr>
        <w:tc>
          <w:tcPr>
            <w:tcW w:w="9775" w:type="dxa"/>
            <w:shd w:val="clear" w:color="auto" w:fill="006EB7"/>
            <w:vAlign w:val="center"/>
          </w:tcPr>
          <w:p w:rsidR="00AB42BA" w:rsidRPr="00CF7C0D" w:rsidRDefault="00AB42BA" w:rsidP="006D664E">
            <w:pPr>
              <w:jc w:val="center"/>
              <w:rPr>
                <w:rFonts w:ascii="PT Sans" w:hAnsi="PT Sans"/>
                <w:b/>
                <w:bCs/>
                <w:iCs/>
                <w:smallCaps/>
                <w:color w:val="FFFFFF"/>
                <w:sz w:val="26"/>
                <w:szCs w:val="26"/>
              </w:rPr>
            </w:pPr>
            <w:r w:rsidRPr="00CF7C0D">
              <w:rPr>
                <w:rFonts w:ascii="PT Sans" w:hAnsi="PT Sans"/>
                <w:b/>
                <w:bCs/>
                <w:iCs/>
                <w:smallCaps/>
                <w:color w:val="FFFFFF"/>
                <w:sz w:val="26"/>
                <w:szCs w:val="26"/>
              </w:rPr>
              <w:t>DEPOSITI FISCALI</w:t>
            </w:r>
          </w:p>
        </w:tc>
      </w:tr>
      <w:tr w:rsidR="00AB42BA" w:rsidRPr="00CF7C0D" w:rsidTr="006D664E">
        <w:trPr>
          <w:trHeight w:val="903"/>
        </w:trPr>
        <w:tc>
          <w:tcPr>
            <w:tcW w:w="9775" w:type="dxa"/>
          </w:tcPr>
          <w:p w:rsidR="00AB42BA" w:rsidRPr="00CF7C0D" w:rsidRDefault="00AB42BA" w:rsidP="006D664E">
            <w:pPr>
              <w:spacing w:before="60" w:after="60"/>
              <w:rPr>
                <w:rFonts w:ascii="PT Sans" w:hAnsi="PT Sans"/>
                <w:b/>
                <w:bCs/>
                <w:szCs w:val="20"/>
              </w:rPr>
            </w:pPr>
            <w:r w:rsidRPr="00CF7C0D">
              <w:rPr>
                <w:rFonts w:ascii="PT Sans" w:hAnsi="PT Sans"/>
                <w:b/>
                <w:bCs/>
                <w:szCs w:val="20"/>
              </w:rPr>
              <w:t>Fissate le regole per lo stoccaggio di prodotti energetici presso depositi fiscali</w:t>
            </w:r>
          </w:p>
          <w:p w:rsidR="00AB42BA" w:rsidRPr="00CF7C0D" w:rsidRDefault="00AB42BA" w:rsidP="006D664E">
            <w:pPr>
              <w:autoSpaceDE w:val="0"/>
              <w:autoSpaceDN w:val="0"/>
              <w:adjustRightInd w:val="0"/>
              <w:jc w:val="both"/>
              <w:rPr>
                <w:rFonts w:ascii="PT Sans" w:hAnsi="PT Sans" w:cs="Calibri"/>
                <w:szCs w:val="22"/>
              </w:rPr>
            </w:pPr>
            <w:r w:rsidRPr="00CF7C0D">
              <w:rPr>
                <w:rFonts w:ascii="PT Sans" w:hAnsi="PT Sans" w:cs="Calibri"/>
                <w:bCs/>
                <w:szCs w:val="22"/>
              </w:rPr>
              <w:t>La Legge di Bilancio per il 2018 ha i</w:t>
            </w:r>
            <w:r w:rsidRPr="00CF7C0D">
              <w:rPr>
                <w:rFonts w:ascii="PT Sans" w:hAnsi="PT Sans" w:cs="Calibri"/>
                <w:color w:val="000000"/>
                <w:szCs w:val="22"/>
                <w:shd w:val="clear" w:color="auto" w:fill="FFFFFF"/>
              </w:rPr>
              <w:t xml:space="preserve">ntrodotto una serie di disposizioni finalizzate alla prevenzione e al contrasto dell’evasione fiscale e dei fenomeni fraudolenti in materia di pagamento dell’Iva nel campo dell’estrazione dei prodotti energetici dai depositi. I </w:t>
            </w:r>
            <w:r w:rsidRPr="00CF7C0D">
              <w:rPr>
                <w:rFonts w:ascii="PT Sans" w:hAnsi="PT Sans" w:cs="Calibri"/>
                <w:szCs w:val="22"/>
              </w:rPr>
              <w:t xml:space="preserve">soggetti che intendono stoccare i propri prodotti energetici in depositi fiscali (o presso depositi di destinatari registrati) in regime sospensivo dell’accisa devono essere preventivamente identificati e autorizzati dall’Agenzia delle dogane e dei monopoli, previa presentazione di una apposita istanza. Il Mef ha fissato le modalità attuative per la presentazione dell’istanza di autorizzazione, per le comunicazioni e per il riepilogo dei quantitativi giornalieri dei prodotti energetici stoccati presso ciascun deposito ausiliario. Il decreto </w:t>
            </w:r>
            <w:r>
              <w:rPr>
                <w:rFonts w:ascii="PT Sans" w:hAnsi="PT Sans" w:cs="Calibri"/>
                <w:szCs w:val="22"/>
              </w:rPr>
              <w:t>in commento entrerà</w:t>
            </w:r>
            <w:r w:rsidRPr="00CF7C0D">
              <w:rPr>
                <w:rFonts w:ascii="PT Sans" w:hAnsi="PT Sans" w:cs="Calibri"/>
                <w:szCs w:val="22"/>
              </w:rPr>
              <w:t xml:space="preserve"> in vigore il 1° agosto 2018.</w:t>
            </w:r>
          </w:p>
          <w:p w:rsidR="00AB42BA" w:rsidRPr="00CF7C0D" w:rsidRDefault="00AB42BA" w:rsidP="006D664E">
            <w:pPr>
              <w:pStyle w:val="NormaleWeb"/>
              <w:shd w:val="clear" w:color="auto" w:fill="FFFFFF"/>
              <w:spacing w:before="90" w:beforeAutospacing="0" w:after="90" w:afterAutospacing="0"/>
              <w:jc w:val="right"/>
              <w:rPr>
                <w:rFonts w:ascii="PT Sans" w:hAnsi="PT Sans"/>
                <w:b/>
                <w:bCs/>
                <w:sz w:val="20"/>
                <w:szCs w:val="20"/>
              </w:rPr>
            </w:pPr>
            <w:r w:rsidRPr="00CF7C0D">
              <w:rPr>
                <w:rFonts w:ascii="PT Sans" w:hAnsi="PT Sans"/>
                <w:b/>
                <w:bCs/>
                <w:sz w:val="20"/>
                <w:szCs w:val="20"/>
              </w:rPr>
              <w:t xml:space="preserve"> (Ministero dell’economia e delle finanze, Decreto 12/04/2018, G.U. n.</w:t>
            </w:r>
            <w:r>
              <w:rPr>
                <w:rFonts w:ascii="PT Sans" w:hAnsi="PT Sans"/>
                <w:b/>
                <w:bCs/>
                <w:sz w:val="20"/>
                <w:szCs w:val="20"/>
              </w:rPr>
              <w:t xml:space="preserve"> </w:t>
            </w:r>
            <w:r w:rsidRPr="00CF7C0D">
              <w:rPr>
                <w:rFonts w:ascii="PT Sans" w:hAnsi="PT Sans"/>
                <w:b/>
                <w:bCs/>
                <w:sz w:val="20"/>
                <w:szCs w:val="20"/>
              </w:rPr>
              <w:t>93 del 21/04/2018)</w:t>
            </w:r>
          </w:p>
        </w:tc>
      </w:tr>
    </w:tbl>
    <w:p w:rsidR="005B750E" w:rsidRPr="00301148" w:rsidRDefault="005B750E" w:rsidP="005B750E">
      <w:pPr>
        <w:jc w:val="both"/>
        <w:rPr>
          <w:rFonts w:ascii="PT Sans" w:hAnsi="PT Sans" w:cs="Arial"/>
          <w:sz w:val="10"/>
          <w:szCs w:val="10"/>
          <w:u w:val="single"/>
        </w:rPr>
      </w:pPr>
      <w:r w:rsidRPr="00301148">
        <w:rPr>
          <w:rFonts w:ascii="PT Sans" w:hAnsi="PT Sans"/>
        </w:rPr>
        <w:br w:type="page"/>
      </w:r>
    </w:p>
    <w:tbl>
      <w:tblPr>
        <w:tblW w:w="9778" w:type="dxa"/>
        <w:tblBorders>
          <w:bottom w:val="single" w:sz="8" w:space="0" w:color="006EB7"/>
        </w:tblBorders>
        <w:tblLayout w:type="fixed"/>
        <w:tblLook w:val="01E0" w:firstRow="1" w:lastRow="1" w:firstColumn="1" w:lastColumn="1" w:noHBand="0" w:noVBand="0"/>
      </w:tblPr>
      <w:tblGrid>
        <w:gridCol w:w="9778"/>
      </w:tblGrid>
      <w:tr w:rsidR="001650F9" w:rsidRPr="00301148" w:rsidTr="005B750E">
        <w:trPr>
          <w:trHeight w:val="567"/>
        </w:trPr>
        <w:tc>
          <w:tcPr>
            <w:tcW w:w="9778" w:type="dxa"/>
            <w:vAlign w:val="center"/>
          </w:tcPr>
          <w:p w:rsidR="001650F9" w:rsidRPr="00301148" w:rsidRDefault="00A93F67" w:rsidP="00360487">
            <w:pPr>
              <w:pStyle w:val="rubrica"/>
              <w:rPr>
                <w:rFonts w:ascii="PT Sans" w:hAnsi="PT Sans"/>
                <w:u w:val="single"/>
              </w:rPr>
            </w:pPr>
            <w:r w:rsidRPr="00301148">
              <w:rPr>
                <w:rFonts w:ascii="PT Sans" w:hAnsi="PT Sans"/>
              </w:rPr>
              <w:lastRenderedPageBreak/>
              <w:br w:type="page"/>
            </w:r>
            <w:r w:rsidR="001650F9" w:rsidRPr="00301148">
              <w:rPr>
                <w:rFonts w:ascii="PT Sans" w:hAnsi="PT Sans"/>
              </w:rPr>
              <w:t>Informative e news per la clientela di studio</w:t>
            </w:r>
          </w:p>
        </w:tc>
      </w:tr>
    </w:tbl>
    <w:p w:rsidR="005B750E" w:rsidRDefault="005B750E" w:rsidP="005B750E">
      <w:pPr>
        <w:pStyle w:val="titoloinformativa"/>
        <w:rPr>
          <w:rFonts w:ascii="PT Sans" w:hAnsi="PT Sans"/>
        </w:rPr>
      </w:pPr>
    </w:p>
    <w:p w:rsidR="00CC31D8" w:rsidRDefault="00CC31D8" w:rsidP="00C45D0C">
      <w:pPr>
        <w:pStyle w:val="titoloinformativa"/>
        <w:rPr>
          <w:rFonts w:ascii="PT Sans" w:hAnsi="PT Sans"/>
        </w:rPr>
      </w:pPr>
    </w:p>
    <w:p w:rsidR="00AB42BA" w:rsidRPr="00A84023" w:rsidRDefault="00AB42BA" w:rsidP="00AB42BA">
      <w:pPr>
        <w:pStyle w:val="titoloinformativa"/>
        <w:spacing w:line="320" w:lineRule="exact"/>
        <w:rPr>
          <w:rFonts w:ascii="PT Sans" w:hAnsi="PT Sans"/>
          <w:spacing w:val="4"/>
        </w:rPr>
      </w:pPr>
      <w:r w:rsidRPr="00A84023">
        <w:rPr>
          <w:rFonts w:ascii="PT Sans" w:hAnsi="PT Sans"/>
          <w:spacing w:val="4"/>
        </w:rPr>
        <w:t>FATTURAZIONE E PAGAMENTO DELLE CESSIONI DI CARBURANTE</w:t>
      </w:r>
    </w:p>
    <w:p w:rsidR="00AB42BA" w:rsidRDefault="00AB42BA" w:rsidP="00AB42BA">
      <w:pPr>
        <w:pStyle w:val="Corpodeltesto2"/>
        <w:spacing w:line="320" w:lineRule="exact"/>
        <w:rPr>
          <w:rFonts w:ascii="PT Sans" w:hAnsi="PT Sans" w:cs="Arial"/>
          <w:b/>
          <w:sz w:val="20"/>
          <w:szCs w:val="20"/>
        </w:rPr>
      </w:pPr>
    </w:p>
    <w:p w:rsidR="00AB42BA" w:rsidRPr="00D944E7" w:rsidRDefault="00AB42BA" w:rsidP="00AB42BA">
      <w:pPr>
        <w:pStyle w:val="corpotestoinformativa"/>
        <w:spacing w:line="320" w:lineRule="exact"/>
        <w:rPr>
          <w:rFonts w:ascii="PT Sans" w:hAnsi="PT Sans"/>
        </w:rPr>
      </w:pPr>
      <w:r w:rsidRPr="00D944E7">
        <w:rPr>
          <w:rFonts w:ascii="PT Sans" w:hAnsi="PT Sans"/>
        </w:rPr>
        <w:t>Dal prossimo 1° luglio 2018 la fatturazione elettronica fa il proprio debutto nel mondo delle cessioni di carburante, unitamente agli obblighi di pagamento tracciato dei rifornimenti. L’Agenzia delle entrate ha emanato, lo scorso 30 aprile, la circolare n. 8/E per esplicare tali novità.</w:t>
      </w:r>
    </w:p>
    <w:p w:rsidR="00AB42BA" w:rsidRPr="00D944E7" w:rsidRDefault="00AB42BA" w:rsidP="00AB42BA">
      <w:pPr>
        <w:pStyle w:val="corpotestoinformativa"/>
        <w:spacing w:line="320" w:lineRule="exact"/>
        <w:rPr>
          <w:rFonts w:ascii="PT Sans" w:hAnsi="PT Sans"/>
        </w:rPr>
      </w:pPr>
      <w:r w:rsidRPr="00D944E7">
        <w:rPr>
          <w:rFonts w:ascii="PT Sans" w:hAnsi="PT Sans"/>
        </w:rPr>
        <w:t>I due obiettivi che ci si propone con gli interventi sono i seguenti:</w:t>
      </w:r>
    </w:p>
    <w:p w:rsidR="00AB42BA" w:rsidRPr="00D944E7" w:rsidRDefault="00AB42BA" w:rsidP="00BB6277">
      <w:pPr>
        <w:pStyle w:val="corpotestoinformativa"/>
        <w:numPr>
          <w:ilvl w:val="0"/>
          <w:numId w:val="25"/>
        </w:numPr>
        <w:spacing w:line="320" w:lineRule="exact"/>
        <w:rPr>
          <w:rFonts w:ascii="PT Sans" w:hAnsi="PT Sans"/>
        </w:rPr>
      </w:pPr>
      <w:r w:rsidRPr="00D944E7">
        <w:rPr>
          <w:rFonts w:ascii="PT Sans" w:hAnsi="PT Sans"/>
        </w:rPr>
        <w:t>prevenire e contrastare le frodi nel settore dei carburanti;</w:t>
      </w:r>
    </w:p>
    <w:p w:rsidR="00AB42BA" w:rsidRPr="00D944E7" w:rsidRDefault="00AB42BA" w:rsidP="00BB6277">
      <w:pPr>
        <w:pStyle w:val="corpotestoinformativa"/>
        <w:numPr>
          <w:ilvl w:val="0"/>
          <w:numId w:val="25"/>
        </w:numPr>
        <w:spacing w:line="320" w:lineRule="exact"/>
        <w:rPr>
          <w:rFonts w:ascii="PT Sans" w:hAnsi="PT Sans"/>
        </w:rPr>
      </w:pPr>
      <w:r w:rsidRPr="00D944E7">
        <w:rPr>
          <w:rFonts w:ascii="PT Sans" w:hAnsi="PT Sans"/>
        </w:rPr>
        <w:t>introdurre limitazioni alla detrazione dell’Iva e alla deduzione del costo dei carburanti.</w:t>
      </w:r>
    </w:p>
    <w:p w:rsidR="00AB42BA" w:rsidRPr="00D944E7" w:rsidRDefault="00AB42BA" w:rsidP="00AB42BA">
      <w:pPr>
        <w:pStyle w:val="corpotestoinformativa"/>
        <w:spacing w:line="320" w:lineRule="exact"/>
        <w:rPr>
          <w:rFonts w:ascii="PT Sans" w:hAnsi="PT Sans"/>
        </w:rPr>
      </w:pPr>
      <w:r w:rsidRPr="00D944E7">
        <w:rPr>
          <w:rFonts w:ascii="PT Sans" w:hAnsi="PT Sans"/>
        </w:rPr>
        <w:t>A seguire, si fornisce un sunto delle principali indicazioni fornite.</w:t>
      </w:r>
    </w:p>
    <w:p w:rsidR="00AB42BA" w:rsidRPr="00D944E7" w:rsidRDefault="00AB42BA" w:rsidP="00AB42BA">
      <w:pPr>
        <w:pStyle w:val="corpotestoinformativa"/>
        <w:spacing w:line="320" w:lineRule="exact"/>
        <w:rPr>
          <w:rFonts w:ascii="PT Sans" w:hAnsi="PT Sans"/>
        </w:rPr>
      </w:pPr>
    </w:p>
    <w:p w:rsidR="00AB42BA" w:rsidRPr="00D944E7" w:rsidRDefault="00AB42BA" w:rsidP="00AB42BA">
      <w:pPr>
        <w:pStyle w:val="corpotestoinformativa"/>
        <w:spacing w:line="320" w:lineRule="exact"/>
        <w:rPr>
          <w:rFonts w:ascii="PT Sans" w:hAnsi="PT Sans"/>
          <w:b/>
          <w:color w:val="006EB7"/>
        </w:rPr>
      </w:pPr>
      <w:r w:rsidRPr="00D944E7">
        <w:rPr>
          <w:rFonts w:ascii="PT Sans" w:hAnsi="PT Sans"/>
          <w:b/>
          <w:color w:val="006EB7"/>
        </w:rPr>
        <w:t>Cessione di carburanti e documentazione necessaria</w:t>
      </w:r>
    </w:p>
    <w:p w:rsidR="00AB42BA" w:rsidRPr="00D944E7" w:rsidRDefault="00AB42BA" w:rsidP="00AB42BA">
      <w:pPr>
        <w:pStyle w:val="corpotestoinformativa"/>
        <w:spacing w:line="320" w:lineRule="exact"/>
        <w:rPr>
          <w:rFonts w:ascii="PT Sans" w:hAnsi="PT Sans"/>
        </w:rPr>
      </w:pPr>
      <w:r w:rsidRPr="00D944E7">
        <w:rPr>
          <w:rFonts w:ascii="PT Sans" w:hAnsi="PT Sans"/>
        </w:rPr>
        <w:t xml:space="preserve">L’anticipazione dell’obbligo di emissione della fattura elettronica dal 1° luglio 2018 riguarda le cessioni – effettuate nei confronti di soggetti passivi Iva - di benzina e gasolio destinati ad essere utilizzati come carburanti per motori per uso autotrazione. L'emissione della fattura, in tale ambito, dovrà avvenire tramite il Sistema di Interscambio, secondo le modalità indicate dal </w:t>
      </w:r>
      <w:r>
        <w:rPr>
          <w:rFonts w:ascii="PT Sans" w:hAnsi="PT Sans"/>
        </w:rPr>
        <w:t>p</w:t>
      </w:r>
      <w:r w:rsidRPr="00D944E7">
        <w:rPr>
          <w:rFonts w:ascii="PT Sans" w:hAnsi="PT Sans"/>
        </w:rPr>
        <w:t xml:space="preserve">rovvedimento </w:t>
      </w:r>
      <w:r>
        <w:rPr>
          <w:rFonts w:ascii="PT Sans" w:hAnsi="PT Sans"/>
        </w:rPr>
        <w:t xml:space="preserve">n. </w:t>
      </w:r>
      <w:r w:rsidRPr="00D944E7">
        <w:rPr>
          <w:rFonts w:ascii="PT Sans" w:hAnsi="PT Sans"/>
        </w:rPr>
        <w:t>89757 del 30</w:t>
      </w:r>
      <w:r>
        <w:rPr>
          <w:rFonts w:ascii="PT Sans" w:hAnsi="PT Sans"/>
        </w:rPr>
        <w:t xml:space="preserve"> aprile </w:t>
      </w:r>
      <w:r w:rsidRPr="00D944E7">
        <w:rPr>
          <w:rFonts w:ascii="PT Sans" w:hAnsi="PT Sans"/>
        </w:rPr>
        <w:t>2018.</w:t>
      </w:r>
    </w:p>
    <w:p w:rsidR="00AB42BA" w:rsidRPr="00D944E7" w:rsidRDefault="00AB42BA" w:rsidP="00AB42BA">
      <w:pPr>
        <w:pStyle w:val="corpotestoinformativa"/>
        <w:spacing w:line="320" w:lineRule="exact"/>
        <w:rPr>
          <w:rFonts w:ascii="PT Sans" w:hAnsi="PT Sans"/>
        </w:rPr>
      </w:pPr>
      <w:r w:rsidRPr="00D944E7">
        <w:rPr>
          <w:rFonts w:ascii="PT Sans" w:hAnsi="PT Sans"/>
        </w:rPr>
        <w:t>L’obbligo, invece, non riguarda – ad esempio - le cessioni di benzina per motori che fanno parte di gruppi elettrogeni, impianti di riscaldamento, attrezzi vari, utensili da giardinaggio e così via.</w:t>
      </w:r>
    </w:p>
    <w:p w:rsidR="00AB42BA" w:rsidRPr="00D944E7" w:rsidRDefault="00AB42BA" w:rsidP="00AB42BA">
      <w:pPr>
        <w:pStyle w:val="corpotestoinformativa"/>
        <w:spacing w:after="120" w:line="320" w:lineRule="exact"/>
        <w:rPr>
          <w:rFonts w:ascii="PT Sans" w:hAnsi="PT Sans"/>
        </w:rPr>
      </w:pPr>
      <w:r w:rsidRPr="00D944E7">
        <w:rPr>
          <w:rFonts w:ascii="PT Sans" w:hAnsi="PT Sans"/>
        </w:rPr>
        <w:t>Restano peraltro ferme, laddove non espressamente derogate o incompatibili con le nuove norme, le ulteriori disposizioni vigenti in tema di fatturazione.</w:t>
      </w:r>
    </w:p>
    <w:tbl>
      <w:tblPr>
        <w:tblW w:w="0" w:type="auto"/>
        <w:tblInd w:w="108" w:type="dxa"/>
        <w:tblBorders>
          <w:top w:val="single" w:sz="4" w:space="0" w:color="006EB7"/>
          <w:left w:val="single" w:sz="4" w:space="0" w:color="006EB7"/>
          <w:bottom w:val="single" w:sz="4" w:space="0" w:color="006EB7"/>
          <w:right w:val="single" w:sz="4" w:space="0" w:color="006EB7"/>
          <w:insideH w:val="single" w:sz="4" w:space="0" w:color="006EB7"/>
          <w:insideV w:val="single" w:sz="4" w:space="0" w:color="006EB7"/>
        </w:tblBorders>
        <w:tblLook w:val="04A0" w:firstRow="1" w:lastRow="0" w:firstColumn="1" w:lastColumn="0" w:noHBand="0" w:noVBand="1"/>
      </w:tblPr>
      <w:tblGrid>
        <w:gridCol w:w="1419"/>
        <w:gridCol w:w="1582"/>
        <w:gridCol w:w="6682"/>
      </w:tblGrid>
      <w:tr w:rsidR="00AB42BA" w:rsidTr="006D664E">
        <w:tc>
          <w:tcPr>
            <w:tcW w:w="1375" w:type="dxa"/>
            <w:tcBorders>
              <w:bottom w:val="nil"/>
            </w:tcBorders>
            <w:shd w:val="clear" w:color="auto" w:fill="auto"/>
            <w:vAlign w:val="center"/>
          </w:tcPr>
          <w:p w:rsidR="00AB42BA" w:rsidRPr="009A7E28" w:rsidRDefault="00AB42BA" w:rsidP="006D664E">
            <w:pPr>
              <w:pStyle w:val="corpotestoinformativa"/>
              <w:jc w:val="left"/>
              <w:rPr>
                <w:rFonts w:ascii="PT Sans" w:hAnsi="PT Sans"/>
                <w:b/>
                <w:i/>
                <w:sz w:val="20"/>
              </w:rPr>
            </w:pPr>
            <w:r w:rsidRPr="009A7E28">
              <w:rPr>
                <w:rFonts w:ascii="PT Sans" w:hAnsi="PT Sans"/>
                <w:b/>
                <w:i/>
                <w:sz w:val="20"/>
              </w:rPr>
              <w:t>Contenuto della fattura</w:t>
            </w:r>
          </w:p>
        </w:tc>
        <w:tc>
          <w:tcPr>
            <w:tcW w:w="1582" w:type="dxa"/>
            <w:shd w:val="clear" w:color="auto" w:fill="auto"/>
            <w:vAlign w:val="center"/>
          </w:tcPr>
          <w:p w:rsidR="00AB42BA" w:rsidRPr="009A7E28" w:rsidRDefault="00AB42BA" w:rsidP="006D664E">
            <w:pPr>
              <w:pStyle w:val="corpotestoinformativa"/>
              <w:jc w:val="left"/>
              <w:rPr>
                <w:rFonts w:ascii="PT Sans" w:hAnsi="PT Sans"/>
                <w:sz w:val="20"/>
              </w:rPr>
            </w:pPr>
            <w:r w:rsidRPr="009A7E28">
              <w:rPr>
                <w:rFonts w:ascii="PT Sans" w:hAnsi="PT Sans"/>
                <w:sz w:val="20"/>
              </w:rPr>
              <w:t>Targa</w:t>
            </w:r>
          </w:p>
          <w:p w:rsidR="00AB42BA" w:rsidRPr="009A7E28" w:rsidRDefault="00AB42BA" w:rsidP="006D664E">
            <w:pPr>
              <w:pStyle w:val="corpotestoinformativa"/>
              <w:jc w:val="left"/>
              <w:rPr>
                <w:rFonts w:ascii="PT Sans" w:hAnsi="PT Sans"/>
                <w:sz w:val="20"/>
              </w:rPr>
            </w:pPr>
            <w:r w:rsidRPr="009A7E28">
              <w:rPr>
                <w:rFonts w:ascii="PT Sans" w:hAnsi="PT Sans"/>
                <w:sz w:val="20"/>
              </w:rPr>
              <w:t>Modello</w:t>
            </w:r>
          </w:p>
        </w:tc>
        <w:tc>
          <w:tcPr>
            <w:tcW w:w="6682" w:type="dxa"/>
            <w:shd w:val="clear" w:color="auto" w:fill="auto"/>
          </w:tcPr>
          <w:p w:rsidR="00AB42BA" w:rsidRPr="009A7E28" w:rsidRDefault="00AB42BA" w:rsidP="00BB6277">
            <w:pPr>
              <w:pStyle w:val="corpotestoinformativa"/>
              <w:numPr>
                <w:ilvl w:val="0"/>
                <w:numId w:val="26"/>
              </w:numPr>
              <w:ind w:left="239" w:hanging="239"/>
              <w:rPr>
                <w:rFonts w:ascii="PT Sans" w:hAnsi="PT Sans"/>
                <w:sz w:val="20"/>
              </w:rPr>
            </w:pPr>
            <w:r w:rsidRPr="009A7E28">
              <w:rPr>
                <w:rFonts w:ascii="PT Sans" w:hAnsi="PT Sans"/>
                <w:sz w:val="20"/>
              </w:rPr>
              <w:t>Tra gli elementi individuati come obbligatori, con specifico riferimento ai carburanti, non figurano la targa o altro estremo identificativo del veicolo al quale sono destinati, come invece previsto per la c.d. "scheda carburante". Le informazioni, pertanto, non sono obbligatorie</w:t>
            </w:r>
          </w:p>
          <w:p w:rsidR="00AB42BA" w:rsidRPr="009A7E28" w:rsidRDefault="00AB42BA" w:rsidP="00BB6277">
            <w:pPr>
              <w:pStyle w:val="corpotestoinformativa"/>
              <w:numPr>
                <w:ilvl w:val="0"/>
                <w:numId w:val="26"/>
              </w:numPr>
              <w:ind w:left="239" w:hanging="239"/>
              <w:rPr>
                <w:rFonts w:ascii="PT Sans" w:hAnsi="PT Sans"/>
                <w:sz w:val="20"/>
              </w:rPr>
            </w:pPr>
            <w:r w:rsidRPr="009A7E28">
              <w:rPr>
                <w:rFonts w:ascii="PT Sans" w:hAnsi="PT Sans"/>
                <w:sz w:val="20"/>
              </w:rPr>
              <w:t>I dati (in particolare la targa) potranno comunque essere inseriti facoltativamente nei documenti, in un apposito campo “Mezzo Trasporto”. Ciò aiuterà gli operatori a ricondurre l’acquisto ad un determinato veicolo, ai fini di stabilirne la deducibilità del costo</w:t>
            </w:r>
          </w:p>
        </w:tc>
      </w:tr>
      <w:tr w:rsidR="00AB42BA" w:rsidTr="006D664E">
        <w:tc>
          <w:tcPr>
            <w:tcW w:w="1375" w:type="dxa"/>
            <w:tcBorders>
              <w:top w:val="nil"/>
            </w:tcBorders>
            <w:shd w:val="clear" w:color="auto" w:fill="auto"/>
            <w:vAlign w:val="center"/>
          </w:tcPr>
          <w:p w:rsidR="00AB42BA" w:rsidRPr="009A7E28" w:rsidRDefault="00AB42BA" w:rsidP="006D664E">
            <w:pPr>
              <w:pStyle w:val="corpotestoinformativa"/>
              <w:jc w:val="left"/>
              <w:rPr>
                <w:rFonts w:ascii="PT Sans" w:hAnsi="PT Sans"/>
                <w:b/>
                <w:i/>
                <w:sz w:val="20"/>
              </w:rPr>
            </w:pPr>
          </w:p>
        </w:tc>
        <w:tc>
          <w:tcPr>
            <w:tcW w:w="1582" w:type="dxa"/>
            <w:shd w:val="clear" w:color="auto" w:fill="auto"/>
            <w:vAlign w:val="center"/>
          </w:tcPr>
          <w:p w:rsidR="00AB42BA" w:rsidRPr="009A7E28" w:rsidRDefault="00AB42BA" w:rsidP="006D664E">
            <w:pPr>
              <w:pStyle w:val="corpotestoinformativa"/>
              <w:jc w:val="left"/>
              <w:rPr>
                <w:rFonts w:ascii="PT Sans" w:hAnsi="PT Sans"/>
                <w:sz w:val="20"/>
              </w:rPr>
            </w:pPr>
            <w:r w:rsidRPr="009A7E28">
              <w:rPr>
                <w:rFonts w:ascii="PT Sans" w:hAnsi="PT Sans"/>
                <w:sz w:val="20"/>
              </w:rPr>
              <w:t>Acquisti promiscui</w:t>
            </w:r>
          </w:p>
        </w:tc>
        <w:tc>
          <w:tcPr>
            <w:tcW w:w="6682" w:type="dxa"/>
            <w:shd w:val="clear" w:color="auto" w:fill="auto"/>
          </w:tcPr>
          <w:p w:rsidR="00AB42BA" w:rsidRPr="009A7E28" w:rsidRDefault="00AB42BA" w:rsidP="00BB6277">
            <w:pPr>
              <w:pStyle w:val="corpotestoinformativa"/>
              <w:numPr>
                <w:ilvl w:val="0"/>
                <w:numId w:val="27"/>
              </w:numPr>
              <w:ind w:left="239" w:hanging="239"/>
              <w:rPr>
                <w:rFonts w:ascii="PT Sans" w:hAnsi="PT Sans"/>
                <w:sz w:val="20"/>
              </w:rPr>
            </w:pPr>
            <w:r w:rsidRPr="009A7E28">
              <w:rPr>
                <w:rFonts w:ascii="PT Sans" w:hAnsi="PT Sans"/>
                <w:sz w:val="20"/>
              </w:rPr>
              <w:t>Qualora si effettuino più operazioni esposte in un’unica fattura, per le quali l’obbligo di forma elettronica riguardi solo alcune di esse, si dovrà utilizzare tale forma per l’intera operazione</w:t>
            </w:r>
          </w:p>
          <w:p w:rsidR="00AB42BA" w:rsidRPr="009A7E28" w:rsidRDefault="00AB42BA" w:rsidP="00BB6277">
            <w:pPr>
              <w:pStyle w:val="corpotestoinformativa"/>
              <w:numPr>
                <w:ilvl w:val="0"/>
                <w:numId w:val="27"/>
              </w:numPr>
              <w:ind w:left="239" w:hanging="239"/>
              <w:rPr>
                <w:rFonts w:ascii="PT Sans" w:hAnsi="PT Sans"/>
                <w:sz w:val="20"/>
              </w:rPr>
            </w:pPr>
            <w:r w:rsidRPr="009A7E28">
              <w:rPr>
                <w:rFonts w:ascii="PT Sans" w:hAnsi="PT Sans"/>
                <w:sz w:val="20"/>
                <w:u w:val="single"/>
              </w:rPr>
              <w:t>Esempio</w:t>
            </w:r>
            <w:r w:rsidRPr="009A7E28">
              <w:rPr>
                <w:rFonts w:ascii="PT Sans" w:hAnsi="PT Sans"/>
                <w:sz w:val="20"/>
              </w:rPr>
              <w:t>: un soggetto Iva che rifornisce il proprio veicolo aziendale di benzina presso un impianto stradale di distribuzione e, contestualmente, vi fa eseguire un intervento di riparazione, ovvero un lavaggio, ovvero acquisti altri beni non legati al veicolo, dovrà ricevere una fattura elettronica per l’intero corrispettivo</w:t>
            </w:r>
          </w:p>
        </w:tc>
      </w:tr>
      <w:tr w:rsidR="00AB42BA" w:rsidTr="006D664E">
        <w:tc>
          <w:tcPr>
            <w:tcW w:w="1375" w:type="dxa"/>
            <w:shd w:val="clear" w:color="auto" w:fill="auto"/>
            <w:vAlign w:val="center"/>
          </w:tcPr>
          <w:p w:rsidR="00AB42BA" w:rsidRPr="009A7E28" w:rsidRDefault="00AB42BA" w:rsidP="006D664E">
            <w:pPr>
              <w:pStyle w:val="corpotestoinformativa"/>
              <w:jc w:val="left"/>
              <w:rPr>
                <w:rFonts w:ascii="PT Sans" w:hAnsi="PT Sans"/>
                <w:b/>
                <w:i/>
                <w:sz w:val="20"/>
              </w:rPr>
            </w:pPr>
            <w:r w:rsidRPr="009A7E28">
              <w:rPr>
                <w:rFonts w:ascii="PT Sans" w:hAnsi="PT Sans"/>
                <w:b/>
                <w:i/>
                <w:sz w:val="20"/>
              </w:rPr>
              <w:t>Fatture differite</w:t>
            </w:r>
          </w:p>
        </w:tc>
        <w:tc>
          <w:tcPr>
            <w:tcW w:w="1582" w:type="dxa"/>
            <w:shd w:val="clear" w:color="auto" w:fill="auto"/>
            <w:vAlign w:val="center"/>
          </w:tcPr>
          <w:p w:rsidR="00AB42BA" w:rsidRPr="009A7E28" w:rsidRDefault="00AB42BA" w:rsidP="006D664E">
            <w:pPr>
              <w:pStyle w:val="corpotestoinformativa"/>
              <w:jc w:val="left"/>
              <w:rPr>
                <w:rFonts w:ascii="PT Sans" w:hAnsi="PT Sans"/>
                <w:sz w:val="20"/>
              </w:rPr>
            </w:pPr>
            <w:r w:rsidRPr="009A7E28">
              <w:rPr>
                <w:rFonts w:ascii="PT Sans" w:hAnsi="PT Sans"/>
                <w:sz w:val="20"/>
              </w:rPr>
              <w:t>Più rifornimenti nello stesso mese</w:t>
            </w:r>
          </w:p>
        </w:tc>
        <w:tc>
          <w:tcPr>
            <w:tcW w:w="6682" w:type="dxa"/>
            <w:shd w:val="clear" w:color="auto" w:fill="auto"/>
          </w:tcPr>
          <w:p w:rsidR="00AB42BA" w:rsidRPr="009A7E28" w:rsidRDefault="00AB42BA" w:rsidP="00BB6277">
            <w:pPr>
              <w:pStyle w:val="corpotestoinformativa"/>
              <w:numPr>
                <w:ilvl w:val="0"/>
                <w:numId w:val="28"/>
              </w:numPr>
              <w:ind w:left="253" w:hanging="253"/>
              <w:rPr>
                <w:rFonts w:ascii="PT Sans" w:hAnsi="PT Sans"/>
                <w:sz w:val="20"/>
              </w:rPr>
            </w:pPr>
            <w:r w:rsidRPr="009A7E28">
              <w:rPr>
                <w:rFonts w:ascii="PT Sans" w:hAnsi="PT Sans"/>
                <w:sz w:val="20"/>
              </w:rPr>
              <w:t>È consentita l’emissione di un’unica fattura, entro il giorno 15 del mese successivo, riepilogativa delle cessioni di beni avvenute nello stesso mese, la cui consegna o spedizione risulti da documento di trasporto o altro documento idoneo a identificare i soggetti</w:t>
            </w:r>
          </w:p>
          <w:p w:rsidR="00AB42BA" w:rsidRPr="009A7E28" w:rsidRDefault="00AB42BA" w:rsidP="00BB6277">
            <w:pPr>
              <w:pStyle w:val="corpotestoinformativa"/>
              <w:numPr>
                <w:ilvl w:val="0"/>
                <w:numId w:val="28"/>
              </w:numPr>
              <w:ind w:left="253" w:hanging="253"/>
              <w:rPr>
                <w:rFonts w:ascii="PT Sans" w:hAnsi="PT Sans"/>
                <w:spacing w:val="-4"/>
                <w:sz w:val="20"/>
              </w:rPr>
            </w:pPr>
            <w:r w:rsidRPr="009A7E28">
              <w:rPr>
                <w:rFonts w:ascii="PT Sans" w:hAnsi="PT Sans"/>
                <w:spacing w:val="-4"/>
                <w:sz w:val="20"/>
              </w:rPr>
              <w:lastRenderedPageBreak/>
              <w:t>La procedura è applicabile anche alle cessioni di carburante, purché le singole consegne siano accompagnate da un documento, analogico o informatico, che abbia i contenuti del DDT (data, generalità del cedente e cessionario, descrizione della natura, qualità e quantità dei beni ceduti)</w:t>
            </w:r>
          </w:p>
          <w:p w:rsidR="00AB42BA" w:rsidRPr="009A7E28" w:rsidRDefault="00AB42BA" w:rsidP="00BB6277">
            <w:pPr>
              <w:pStyle w:val="corpotestoinformativa"/>
              <w:numPr>
                <w:ilvl w:val="0"/>
                <w:numId w:val="28"/>
              </w:numPr>
              <w:ind w:left="253" w:hanging="253"/>
              <w:rPr>
                <w:rFonts w:ascii="PT Sans" w:hAnsi="PT Sans"/>
                <w:sz w:val="20"/>
              </w:rPr>
            </w:pPr>
            <w:r w:rsidRPr="009A7E28">
              <w:rPr>
                <w:rFonts w:ascii="PT Sans" w:hAnsi="PT Sans"/>
                <w:sz w:val="20"/>
              </w:rPr>
              <w:t>A questo fine, ove contenenti le informazioni necessarie (si veda il punto 2 della circolare n. 205/E/1998), potranno essere utilizzati anche i buoni consegna emessi dalle attrezzature automatiche</w:t>
            </w:r>
          </w:p>
        </w:tc>
      </w:tr>
      <w:tr w:rsidR="00AB42BA" w:rsidTr="006D664E">
        <w:tc>
          <w:tcPr>
            <w:tcW w:w="1375" w:type="dxa"/>
            <w:shd w:val="clear" w:color="auto" w:fill="auto"/>
            <w:vAlign w:val="center"/>
          </w:tcPr>
          <w:p w:rsidR="00AB42BA" w:rsidRPr="009A7E28" w:rsidRDefault="00AB42BA" w:rsidP="006D664E">
            <w:pPr>
              <w:pStyle w:val="corpotestoinformativa"/>
              <w:jc w:val="left"/>
              <w:rPr>
                <w:rFonts w:ascii="PT Sans" w:hAnsi="PT Sans"/>
                <w:b/>
                <w:i/>
                <w:sz w:val="20"/>
              </w:rPr>
            </w:pPr>
            <w:r w:rsidRPr="009A7E28">
              <w:rPr>
                <w:rFonts w:ascii="PT Sans" w:hAnsi="PT Sans"/>
                <w:b/>
                <w:i/>
                <w:sz w:val="20"/>
              </w:rPr>
              <w:lastRenderedPageBreak/>
              <w:t>Specifici esoneri</w:t>
            </w:r>
          </w:p>
        </w:tc>
        <w:tc>
          <w:tcPr>
            <w:tcW w:w="1582" w:type="dxa"/>
            <w:shd w:val="clear" w:color="auto" w:fill="auto"/>
            <w:vAlign w:val="center"/>
          </w:tcPr>
          <w:p w:rsidR="00AB42BA" w:rsidRPr="009A7E28" w:rsidRDefault="00AB42BA" w:rsidP="006D664E">
            <w:pPr>
              <w:pStyle w:val="corpotestoinformativa"/>
              <w:jc w:val="left"/>
              <w:rPr>
                <w:rFonts w:ascii="PT Sans" w:hAnsi="PT Sans"/>
                <w:sz w:val="20"/>
              </w:rPr>
            </w:pPr>
            <w:r w:rsidRPr="009A7E28">
              <w:rPr>
                <w:rFonts w:ascii="PT Sans" w:hAnsi="PT Sans"/>
                <w:sz w:val="20"/>
              </w:rPr>
              <w:t>Minimi e forfetari</w:t>
            </w:r>
          </w:p>
        </w:tc>
        <w:tc>
          <w:tcPr>
            <w:tcW w:w="6682" w:type="dxa"/>
            <w:shd w:val="clear" w:color="auto" w:fill="auto"/>
          </w:tcPr>
          <w:p w:rsidR="00AB42BA" w:rsidRPr="009A7E28" w:rsidRDefault="00AB42BA" w:rsidP="00BB6277">
            <w:pPr>
              <w:pStyle w:val="corpotestoinformativa"/>
              <w:numPr>
                <w:ilvl w:val="0"/>
                <w:numId w:val="29"/>
              </w:numPr>
              <w:ind w:left="281"/>
              <w:rPr>
                <w:rFonts w:ascii="PT Sans" w:hAnsi="PT Sans"/>
                <w:sz w:val="20"/>
              </w:rPr>
            </w:pPr>
            <w:r w:rsidRPr="009A7E28">
              <w:rPr>
                <w:rFonts w:ascii="PT Sans" w:hAnsi="PT Sans"/>
                <w:sz w:val="20"/>
              </w:rPr>
              <w:t>L’obbligo di fatturazione elettronica per le cessioni di carburante rappresenta un’anticipazione del generalizzato obbligo di fatturazione elettronica decorrente dal prossimo 1° gennaio 2019</w:t>
            </w:r>
          </w:p>
          <w:p w:rsidR="00AB42BA" w:rsidRPr="009A7E28" w:rsidRDefault="00AB42BA" w:rsidP="00BB6277">
            <w:pPr>
              <w:pStyle w:val="corpotestoinformativa"/>
              <w:numPr>
                <w:ilvl w:val="0"/>
                <w:numId w:val="29"/>
              </w:numPr>
              <w:ind w:left="281"/>
              <w:rPr>
                <w:rFonts w:ascii="PT Sans" w:hAnsi="PT Sans"/>
                <w:sz w:val="20"/>
              </w:rPr>
            </w:pPr>
            <w:r w:rsidRPr="009A7E28">
              <w:rPr>
                <w:rFonts w:ascii="PT Sans" w:hAnsi="PT Sans"/>
                <w:sz w:val="20"/>
              </w:rPr>
              <w:t>Permangono, dunque, gli esoneri da tali obblighi di emissione della fattura elettronica per i soggetti passivi che rientrano nel regime di vantaggio (c.d. minimi) e per quelli che applicano il regime forfettario</w:t>
            </w:r>
          </w:p>
        </w:tc>
      </w:tr>
      <w:tr w:rsidR="00AB42BA" w:rsidTr="006D664E">
        <w:tc>
          <w:tcPr>
            <w:tcW w:w="1375" w:type="dxa"/>
            <w:vMerge w:val="restart"/>
            <w:shd w:val="clear" w:color="auto" w:fill="auto"/>
            <w:vAlign w:val="center"/>
          </w:tcPr>
          <w:p w:rsidR="00AB42BA" w:rsidRPr="009A7E28" w:rsidRDefault="00AB42BA" w:rsidP="006D664E">
            <w:pPr>
              <w:pStyle w:val="corpotestoinformativa"/>
              <w:jc w:val="left"/>
              <w:rPr>
                <w:rFonts w:ascii="PT Sans" w:hAnsi="PT Sans"/>
                <w:b/>
                <w:i/>
                <w:sz w:val="20"/>
              </w:rPr>
            </w:pPr>
            <w:r w:rsidRPr="009A7E28">
              <w:rPr>
                <w:rFonts w:ascii="PT Sans" w:hAnsi="PT Sans"/>
                <w:b/>
                <w:i/>
                <w:sz w:val="20"/>
              </w:rPr>
              <w:t>Registrazione e conservazione</w:t>
            </w:r>
          </w:p>
        </w:tc>
        <w:tc>
          <w:tcPr>
            <w:tcW w:w="1582" w:type="dxa"/>
            <w:shd w:val="clear" w:color="auto" w:fill="auto"/>
            <w:vAlign w:val="center"/>
          </w:tcPr>
          <w:p w:rsidR="00AB42BA" w:rsidRPr="009A7E28" w:rsidRDefault="00AB42BA" w:rsidP="006D664E">
            <w:pPr>
              <w:pStyle w:val="corpotestoinformativa"/>
              <w:jc w:val="left"/>
              <w:rPr>
                <w:rFonts w:ascii="PT Sans" w:hAnsi="PT Sans"/>
                <w:sz w:val="20"/>
              </w:rPr>
            </w:pPr>
            <w:r w:rsidRPr="009A7E28">
              <w:rPr>
                <w:rFonts w:ascii="PT Sans" w:hAnsi="PT Sans"/>
                <w:sz w:val="20"/>
              </w:rPr>
              <w:t>Documenti riepilogativi</w:t>
            </w:r>
          </w:p>
        </w:tc>
        <w:tc>
          <w:tcPr>
            <w:tcW w:w="6682" w:type="dxa"/>
            <w:shd w:val="clear" w:color="auto" w:fill="auto"/>
          </w:tcPr>
          <w:p w:rsidR="00AB42BA" w:rsidRPr="009A7E28" w:rsidRDefault="00AB42BA" w:rsidP="00BB6277">
            <w:pPr>
              <w:pStyle w:val="corpotestoinformativa"/>
              <w:numPr>
                <w:ilvl w:val="0"/>
                <w:numId w:val="30"/>
              </w:numPr>
              <w:ind w:left="281"/>
              <w:rPr>
                <w:rFonts w:ascii="PT Sans" w:hAnsi="PT Sans"/>
                <w:sz w:val="20"/>
              </w:rPr>
            </w:pPr>
            <w:r w:rsidRPr="009A7E28">
              <w:rPr>
                <w:rFonts w:ascii="PT Sans" w:hAnsi="PT Sans"/>
                <w:sz w:val="20"/>
              </w:rPr>
              <w:t>Per le fatture di importo inferiore a 300 euro emesse nel corso del mese, con riferimento allo stesso, in luogo di ciascuna potrà essere annotato un documento riepilogativo nel quale dovranno essere indicati i numeri delle fatture cui si riferisce, l'ammontare complessivo imponibile delle operazioni e l'ammontare dell'imposta, distinti secondo l'aliquota applicata</w:t>
            </w:r>
          </w:p>
        </w:tc>
      </w:tr>
      <w:tr w:rsidR="00AB42BA" w:rsidTr="006D664E">
        <w:tc>
          <w:tcPr>
            <w:tcW w:w="1375" w:type="dxa"/>
            <w:vMerge/>
            <w:shd w:val="clear" w:color="auto" w:fill="auto"/>
          </w:tcPr>
          <w:p w:rsidR="00AB42BA" w:rsidRPr="009A7E28" w:rsidRDefault="00AB42BA" w:rsidP="006D664E">
            <w:pPr>
              <w:pStyle w:val="corpotestoinformativa"/>
              <w:jc w:val="left"/>
              <w:rPr>
                <w:rFonts w:ascii="PT Sans" w:hAnsi="PT Sans"/>
                <w:b/>
                <w:i/>
                <w:sz w:val="20"/>
              </w:rPr>
            </w:pPr>
          </w:p>
        </w:tc>
        <w:tc>
          <w:tcPr>
            <w:tcW w:w="1582" w:type="dxa"/>
            <w:shd w:val="clear" w:color="auto" w:fill="auto"/>
            <w:vAlign w:val="center"/>
          </w:tcPr>
          <w:p w:rsidR="00AB42BA" w:rsidRPr="009A7E28" w:rsidRDefault="00AB42BA" w:rsidP="006D664E">
            <w:pPr>
              <w:pStyle w:val="corpotestoinformativa"/>
              <w:jc w:val="left"/>
              <w:rPr>
                <w:rFonts w:ascii="PT Sans" w:hAnsi="PT Sans"/>
                <w:sz w:val="20"/>
              </w:rPr>
            </w:pPr>
            <w:r w:rsidRPr="009A7E28">
              <w:rPr>
                <w:rFonts w:ascii="PT Sans" w:hAnsi="PT Sans"/>
                <w:sz w:val="20"/>
              </w:rPr>
              <w:t>Conservazione sostitutiva</w:t>
            </w:r>
          </w:p>
        </w:tc>
        <w:tc>
          <w:tcPr>
            <w:tcW w:w="6682" w:type="dxa"/>
            <w:shd w:val="clear" w:color="auto" w:fill="auto"/>
          </w:tcPr>
          <w:p w:rsidR="00AB42BA" w:rsidRPr="009A7E28" w:rsidRDefault="00AB42BA" w:rsidP="00BB6277">
            <w:pPr>
              <w:pStyle w:val="corpotestoinformativa"/>
              <w:numPr>
                <w:ilvl w:val="0"/>
                <w:numId w:val="31"/>
              </w:numPr>
              <w:ind w:left="281"/>
              <w:rPr>
                <w:rFonts w:ascii="PT Sans" w:hAnsi="PT Sans"/>
                <w:sz w:val="20"/>
              </w:rPr>
            </w:pPr>
            <w:r w:rsidRPr="009A7E28">
              <w:rPr>
                <w:rFonts w:ascii="PT Sans" w:hAnsi="PT Sans"/>
                <w:sz w:val="20"/>
              </w:rPr>
              <w:t>In tema di conservazione elettronica delle fatture, mediante adesione ad apposito accordo (tutto in modalità online), è previsto che tutte le fatture elettroniche emesse o ricevute dall'operatore attraverso il Sistema di Interscambio saranno portate in conservazione sostitutiva in modo gratuito dall’Agenzia delle entrate</w:t>
            </w:r>
          </w:p>
        </w:tc>
      </w:tr>
    </w:tbl>
    <w:p w:rsidR="00AB42BA" w:rsidRDefault="00AB42BA" w:rsidP="00AB42BA">
      <w:pPr>
        <w:pStyle w:val="corpotestoinformativa"/>
        <w:spacing w:line="320" w:lineRule="exact"/>
        <w:rPr>
          <w:rFonts w:ascii="PT Sans" w:hAnsi="PT Sans"/>
          <w:sz w:val="20"/>
        </w:rPr>
      </w:pPr>
    </w:p>
    <w:p w:rsidR="00AB42BA" w:rsidRPr="00752C5F" w:rsidRDefault="00AB42BA" w:rsidP="00AB42BA">
      <w:pPr>
        <w:pStyle w:val="corpotestoinformativa"/>
        <w:spacing w:line="320" w:lineRule="exact"/>
        <w:rPr>
          <w:rFonts w:ascii="PT Sans" w:hAnsi="PT Sans"/>
          <w:b/>
          <w:color w:val="006EB7"/>
        </w:rPr>
      </w:pPr>
      <w:r w:rsidRPr="00752C5F">
        <w:rPr>
          <w:rFonts w:ascii="PT Sans" w:hAnsi="PT Sans"/>
          <w:b/>
          <w:color w:val="006EB7"/>
        </w:rPr>
        <w:t>Cessione di carburanti e modalità di pagamento</w:t>
      </w:r>
    </w:p>
    <w:p w:rsidR="00AB42BA" w:rsidRPr="00752C5F" w:rsidRDefault="00AB42BA" w:rsidP="00AB42BA">
      <w:pPr>
        <w:pStyle w:val="corpotestoinformativa"/>
        <w:spacing w:line="320" w:lineRule="exact"/>
        <w:rPr>
          <w:rFonts w:ascii="PT Sans" w:hAnsi="PT Sans"/>
        </w:rPr>
      </w:pPr>
      <w:r w:rsidRPr="00752C5F">
        <w:rPr>
          <w:rFonts w:ascii="PT Sans" w:hAnsi="PT Sans"/>
        </w:rPr>
        <w:t xml:space="preserve">Oltre al vincolo della emissione di fattura elettronica, le cessioni di carburante saranno interessate da vincoli nelle modalità di pagamento, finalizzati ad ottenere la detrazione dell’Iva e la deduzione del costo. </w:t>
      </w:r>
    </w:p>
    <w:p w:rsidR="00AB42BA" w:rsidRPr="00752C5F" w:rsidRDefault="00AB42BA" w:rsidP="00AB42BA">
      <w:pPr>
        <w:pStyle w:val="corpotestoinformativa"/>
        <w:spacing w:line="320" w:lineRule="exact"/>
        <w:rPr>
          <w:rFonts w:ascii="PT Sans" w:hAnsi="PT Sans"/>
        </w:rPr>
      </w:pPr>
      <w:r w:rsidRPr="00752C5F">
        <w:rPr>
          <w:rFonts w:ascii="PT Sans" w:hAnsi="PT Sans"/>
        </w:rPr>
        <w:t>Nonostante un testo normativo disallineato, la circolare ha utilmente sostenuto che la materia Iva e quella delle imposte dirette vadano trattate in modo omogeneo, riconoscendo valide le conclusioni raggiunte per entrambi i comparti impositivi.</w:t>
      </w:r>
    </w:p>
    <w:p w:rsidR="00AB42BA" w:rsidRPr="00752C5F" w:rsidRDefault="00AB42BA" w:rsidP="00AB42BA">
      <w:pPr>
        <w:pStyle w:val="corpotestoinformativa"/>
        <w:spacing w:line="320" w:lineRule="exact"/>
        <w:rPr>
          <w:rFonts w:ascii="PT Sans" w:hAnsi="PT Sans"/>
        </w:rPr>
      </w:pPr>
      <w:r w:rsidRPr="00752C5F">
        <w:rPr>
          <w:rFonts w:ascii="PT Sans" w:hAnsi="PT Sans"/>
        </w:rPr>
        <w:t>Peraltro, la circolare afferma che tali modalità si rendono necessarie indipendentemente:</w:t>
      </w:r>
    </w:p>
    <w:p w:rsidR="00AB42BA" w:rsidRPr="00752C5F" w:rsidRDefault="00AB42BA" w:rsidP="00BB6277">
      <w:pPr>
        <w:pStyle w:val="corpotestoinformativa"/>
        <w:numPr>
          <w:ilvl w:val="0"/>
          <w:numId w:val="31"/>
        </w:numPr>
        <w:spacing w:line="320" w:lineRule="exact"/>
        <w:ind w:left="284" w:hanging="284"/>
        <w:rPr>
          <w:rFonts w:ascii="PT Sans" w:hAnsi="PT Sans"/>
        </w:rPr>
      </w:pPr>
      <w:r w:rsidRPr="00752C5F">
        <w:rPr>
          <w:rFonts w:ascii="PT Sans" w:hAnsi="PT Sans"/>
        </w:rPr>
        <w:t>dall’importo;</w:t>
      </w:r>
    </w:p>
    <w:p w:rsidR="00AB42BA" w:rsidRPr="00752C5F" w:rsidRDefault="00AB42BA" w:rsidP="00BB6277">
      <w:pPr>
        <w:pStyle w:val="corpotestoinformativa"/>
        <w:numPr>
          <w:ilvl w:val="0"/>
          <w:numId w:val="31"/>
        </w:numPr>
        <w:spacing w:line="320" w:lineRule="exact"/>
        <w:ind w:left="284" w:hanging="284"/>
        <w:rPr>
          <w:rFonts w:ascii="PT Sans" w:hAnsi="PT Sans"/>
        </w:rPr>
      </w:pPr>
      <w:r w:rsidRPr="00752C5F">
        <w:rPr>
          <w:rFonts w:ascii="PT Sans" w:hAnsi="PT Sans"/>
        </w:rPr>
        <w:t>dal veicolo di riferimento (ivi inclusi le autovetture, gli autocarri, i trattori stradali, i motoveicoli);</w:t>
      </w:r>
    </w:p>
    <w:p w:rsidR="00AB42BA" w:rsidRPr="00752C5F" w:rsidRDefault="00AB42BA" w:rsidP="00BB6277">
      <w:pPr>
        <w:pStyle w:val="corpotestoinformativa"/>
        <w:numPr>
          <w:ilvl w:val="0"/>
          <w:numId w:val="31"/>
        </w:numPr>
        <w:spacing w:line="320" w:lineRule="exact"/>
        <w:ind w:left="284" w:hanging="284"/>
        <w:rPr>
          <w:rFonts w:ascii="PT Sans" w:hAnsi="PT Sans"/>
        </w:rPr>
      </w:pPr>
      <w:r w:rsidRPr="00752C5F">
        <w:rPr>
          <w:rFonts w:ascii="PT Sans" w:hAnsi="PT Sans"/>
        </w:rPr>
        <w:t>dall’impiego (uso esclusivo o promiscuo);</w:t>
      </w:r>
    </w:p>
    <w:p w:rsidR="00AB42BA" w:rsidRPr="00752C5F" w:rsidRDefault="00AB42BA" w:rsidP="00BB6277">
      <w:pPr>
        <w:pStyle w:val="corpotestoinformativa"/>
        <w:numPr>
          <w:ilvl w:val="0"/>
          <w:numId w:val="31"/>
        </w:numPr>
        <w:spacing w:line="320" w:lineRule="exact"/>
        <w:ind w:left="284" w:hanging="284"/>
        <w:rPr>
          <w:rFonts w:ascii="PT Sans" w:hAnsi="PT Sans"/>
        </w:rPr>
      </w:pPr>
      <w:r w:rsidRPr="00752C5F">
        <w:rPr>
          <w:rFonts w:ascii="PT Sans" w:hAnsi="PT Sans"/>
        </w:rPr>
        <w:t>dal soggetto passivo che effettua l’acquisto (professionista, autotrasportatore, etc.).</w:t>
      </w:r>
    </w:p>
    <w:p w:rsidR="00AB42BA" w:rsidRPr="00752C5F" w:rsidRDefault="00AB42BA" w:rsidP="00AB42BA">
      <w:pPr>
        <w:pStyle w:val="corpotestoinformativa"/>
        <w:spacing w:after="120" w:line="320" w:lineRule="exact"/>
        <w:rPr>
          <w:rFonts w:ascii="PT Sans" w:hAnsi="PT Sans"/>
        </w:rPr>
      </w:pPr>
      <w:r w:rsidRPr="00752C5F">
        <w:rPr>
          <w:rFonts w:ascii="PT Sans" w:hAnsi="PT Sans"/>
        </w:rPr>
        <w:t>Nella tabella che segue sono riepilogati gli strumenti ammessi e alcune peculiarità dei medesimi.</w:t>
      </w:r>
    </w:p>
    <w:tbl>
      <w:tblPr>
        <w:tblW w:w="0" w:type="auto"/>
        <w:tblBorders>
          <w:top w:val="single" w:sz="4" w:space="0" w:color="006EB7"/>
          <w:left w:val="single" w:sz="4" w:space="0" w:color="006EB7"/>
          <w:bottom w:val="single" w:sz="4" w:space="0" w:color="006EB7"/>
          <w:right w:val="single" w:sz="4" w:space="0" w:color="006EB7"/>
          <w:insideH w:val="single" w:sz="4" w:space="0" w:color="006EB7"/>
          <w:insideV w:val="single" w:sz="4" w:space="0" w:color="006EB7"/>
        </w:tblBorders>
        <w:tblLook w:val="04A0" w:firstRow="1" w:lastRow="0" w:firstColumn="1" w:lastColumn="0" w:noHBand="0" w:noVBand="1"/>
      </w:tblPr>
      <w:tblGrid>
        <w:gridCol w:w="1964"/>
        <w:gridCol w:w="1505"/>
        <w:gridCol w:w="6159"/>
      </w:tblGrid>
      <w:tr w:rsidR="00AB42BA" w:rsidTr="006D664E">
        <w:tc>
          <w:tcPr>
            <w:tcW w:w="1964" w:type="dxa"/>
            <w:shd w:val="clear" w:color="auto" w:fill="auto"/>
            <w:vAlign w:val="center"/>
          </w:tcPr>
          <w:p w:rsidR="00AB42BA" w:rsidRPr="009A7E28" w:rsidRDefault="00AB42BA" w:rsidP="006D664E">
            <w:pPr>
              <w:pStyle w:val="corpotestoinformativa"/>
              <w:spacing w:line="320" w:lineRule="exact"/>
              <w:jc w:val="left"/>
              <w:rPr>
                <w:rFonts w:ascii="PT Sans" w:hAnsi="PT Sans"/>
                <w:b/>
                <w:i/>
                <w:sz w:val="20"/>
              </w:rPr>
            </w:pPr>
            <w:r w:rsidRPr="009A7E28">
              <w:rPr>
                <w:rFonts w:ascii="PT Sans" w:hAnsi="PT Sans"/>
                <w:b/>
                <w:i/>
                <w:sz w:val="20"/>
              </w:rPr>
              <w:t>Strumenti tracciati di pagamento</w:t>
            </w:r>
          </w:p>
        </w:tc>
        <w:tc>
          <w:tcPr>
            <w:tcW w:w="7664" w:type="dxa"/>
            <w:gridSpan w:val="2"/>
            <w:shd w:val="clear" w:color="auto" w:fill="auto"/>
          </w:tcPr>
          <w:p w:rsidR="00AB42BA" w:rsidRPr="009A7E28" w:rsidRDefault="00AB42BA" w:rsidP="006D664E">
            <w:pPr>
              <w:pStyle w:val="corpotestoinformativa"/>
              <w:spacing w:line="320" w:lineRule="exact"/>
              <w:rPr>
                <w:rFonts w:ascii="PT Sans" w:hAnsi="PT Sans"/>
                <w:sz w:val="20"/>
              </w:rPr>
            </w:pPr>
            <w:r w:rsidRPr="009A7E28">
              <w:rPr>
                <w:rFonts w:ascii="PT Sans" w:hAnsi="PT Sans"/>
                <w:sz w:val="20"/>
              </w:rPr>
              <w:t>Gli strumenti di pagamento diversi dal contante contemplati sono i seguenti:</w:t>
            </w:r>
          </w:p>
          <w:p w:rsidR="00AB42BA" w:rsidRPr="009A7E28" w:rsidRDefault="00AB42BA" w:rsidP="00BB6277">
            <w:pPr>
              <w:pStyle w:val="corpotestoinformativa"/>
              <w:numPr>
                <w:ilvl w:val="0"/>
                <w:numId w:val="32"/>
              </w:numPr>
              <w:spacing w:line="320" w:lineRule="exact"/>
              <w:ind w:left="276" w:hanging="276"/>
              <w:rPr>
                <w:rFonts w:ascii="PT Sans" w:hAnsi="PT Sans"/>
                <w:sz w:val="20"/>
              </w:rPr>
            </w:pPr>
            <w:r w:rsidRPr="009A7E28">
              <w:rPr>
                <w:rFonts w:ascii="PT Sans" w:hAnsi="PT Sans"/>
                <w:sz w:val="20"/>
              </w:rPr>
              <w:t>carte di credito, carte di debito o carte prepagate emesse da qualsiasi operatore finanziari (anche non soggetto all’obbligo di comunicazione dei dati all’Amministrazione finanziaria);</w:t>
            </w:r>
          </w:p>
          <w:p w:rsidR="00AB42BA" w:rsidRPr="009A7E28" w:rsidRDefault="00AB42BA" w:rsidP="00BB6277">
            <w:pPr>
              <w:pStyle w:val="corpotestoinformativa"/>
              <w:numPr>
                <w:ilvl w:val="0"/>
                <w:numId w:val="32"/>
              </w:numPr>
              <w:spacing w:line="320" w:lineRule="exact"/>
              <w:ind w:left="276" w:hanging="276"/>
              <w:rPr>
                <w:rFonts w:ascii="PT Sans" w:hAnsi="PT Sans"/>
                <w:sz w:val="20"/>
              </w:rPr>
            </w:pPr>
            <w:r w:rsidRPr="009A7E28">
              <w:rPr>
                <w:rFonts w:ascii="PT Sans" w:hAnsi="PT Sans"/>
                <w:sz w:val="20"/>
              </w:rPr>
              <w:t>addebito diretto, bonifico bancario o postale, bollettino postale;</w:t>
            </w:r>
          </w:p>
          <w:p w:rsidR="00AB42BA" w:rsidRPr="009A7E28" w:rsidRDefault="00AB42BA" w:rsidP="00BB6277">
            <w:pPr>
              <w:pStyle w:val="corpotestoinformativa"/>
              <w:numPr>
                <w:ilvl w:val="0"/>
                <w:numId w:val="32"/>
              </w:numPr>
              <w:spacing w:line="320" w:lineRule="exact"/>
              <w:ind w:left="276" w:hanging="276"/>
              <w:rPr>
                <w:rFonts w:ascii="PT Sans" w:hAnsi="PT Sans"/>
                <w:sz w:val="20"/>
              </w:rPr>
            </w:pPr>
            <w:r w:rsidRPr="009A7E28">
              <w:rPr>
                <w:rFonts w:ascii="PT Sans" w:hAnsi="PT Sans"/>
                <w:sz w:val="20"/>
              </w:rPr>
              <w:t>assegni, bancari e postali, circolari e non, nonché i vaglia cambiari e postali;</w:t>
            </w:r>
          </w:p>
          <w:p w:rsidR="00AB42BA" w:rsidRPr="009A7E28" w:rsidRDefault="00AB42BA" w:rsidP="00BB6277">
            <w:pPr>
              <w:pStyle w:val="corpotestoinformativa"/>
              <w:numPr>
                <w:ilvl w:val="0"/>
                <w:numId w:val="32"/>
              </w:numPr>
              <w:spacing w:line="320" w:lineRule="exact"/>
              <w:ind w:left="276" w:hanging="276"/>
              <w:rPr>
                <w:rFonts w:ascii="PT Sans" w:hAnsi="PT Sans"/>
                <w:sz w:val="20"/>
              </w:rPr>
            </w:pPr>
            <w:r w:rsidRPr="009A7E28">
              <w:rPr>
                <w:rFonts w:ascii="PT Sans" w:hAnsi="PT Sans"/>
                <w:sz w:val="20"/>
              </w:rPr>
              <w:t xml:space="preserve">strumenti di pagamento elettronico disponibili (come </w:t>
            </w:r>
            <w:r w:rsidRPr="009A7E28">
              <w:rPr>
                <w:rFonts w:ascii="PT Sans" w:hAnsi="PT Sans"/>
                <w:i/>
                <w:sz w:val="20"/>
              </w:rPr>
              <w:t>card</w:t>
            </w:r>
            <w:r w:rsidRPr="009A7E28">
              <w:rPr>
                <w:rFonts w:ascii="PT Sans" w:hAnsi="PT Sans"/>
                <w:sz w:val="20"/>
              </w:rPr>
              <w:t xml:space="preserve">, applicazioni per </w:t>
            </w:r>
            <w:r w:rsidRPr="009A7E28">
              <w:rPr>
                <w:rFonts w:ascii="PT Sans" w:hAnsi="PT Sans"/>
                <w:i/>
                <w:sz w:val="20"/>
              </w:rPr>
              <w:t>smartphone</w:t>
            </w:r>
            <w:r w:rsidRPr="009A7E28">
              <w:rPr>
                <w:rFonts w:ascii="PT Sans" w:hAnsi="PT Sans"/>
                <w:sz w:val="20"/>
              </w:rPr>
              <w:t>/</w:t>
            </w:r>
            <w:r w:rsidRPr="009A7E28">
              <w:rPr>
                <w:rFonts w:ascii="PT Sans" w:hAnsi="PT Sans"/>
                <w:i/>
                <w:sz w:val="20"/>
              </w:rPr>
              <w:t>tablet</w:t>
            </w:r>
            <w:r w:rsidRPr="009A7E28">
              <w:rPr>
                <w:rFonts w:ascii="PT Sans" w:hAnsi="PT Sans"/>
                <w:sz w:val="20"/>
              </w:rPr>
              <w:t xml:space="preserve">, dispositivi elettronici vari, etc.) che consentono l'acquisto di </w:t>
            </w:r>
            <w:r w:rsidRPr="009A7E28">
              <w:rPr>
                <w:rFonts w:ascii="PT Sans" w:hAnsi="PT Sans"/>
                <w:sz w:val="20"/>
              </w:rPr>
              <w:lastRenderedPageBreak/>
              <w:t>carburante con addebito diretto del costo su conto corrente o carta di credito (contestualmente all'acquisto o in un momento successivo) del soggetto passivo cessionario, ovvero attingono ad una provvista da questi mantenuta presso l'operatore, periodicamente ricostituita in ragione del consumo.</w:t>
            </w:r>
          </w:p>
          <w:p w:rsidR="00AB42BA" w:rsidRPr="009A7E28" w:rsidRDefault="00AB42BA" w:rsidP="006D664E">
            <w:pPr>
              <w:pStyle w:val="corpotestoinformativa"/>
              <w:spacing w:line="320" w:lineRule="exact"/>
              <w:rPr>
                <w:rFonts w:ascii="PT Sans" w:hAnsi="PT Sans"/>
                <w:sz w:val="20"/>
              </w:rPr>
            </w:pPr>
            <w:r w:rsidRPr="009A7E28">
              <w:rPr>
                <w:rFonts w:ascii="PT Sans" w:hAnsi="PT Sans"/>
                <w:sz w:val="20"/>
              </w:rPr>
              <w:t>Sono altresì ritenuti validi i pagamenti effettuati dal soggetto passivo d'imposta in via mediata, ma allo stesso riconducibili secondo una catena ininterrotta di corresponsioni con strumenti tracciabili.</w:t>
            </w:r>
          </w:p>
          <w:p w:rsidR="00AB42BA" w:rsidRPr="009A7E28" w:rsidRDefault="00AB42BA" w:rsidP="006D664E">
            <w:pPr>
              <w:pStyle w:val="corpotestoinformativa"/>
              <w:spacing w:line="320" w:lineRule="exact"/>
              <w:rPr>
                <w:rFonts w:ascii="PT Sans" w:hAnsi="PT Sans"/>
                <w:sz w:val="20"/>
              </w:rPr>
            </w:pPr>
            <w:r w:rsidRPr="009A7E28">
              <w:rPr>
                <w:rFonts w:ascii="PT Sans" w:hAnsi="PT Sans"/>
                <w:sz w:val="20"/>
              </w:rPr>
              <w:t>Si pensi al seguente esempio:</w:t>
            </w:r>
          </w:p>
          <w:p w:rsidR="00AB42BA" w:rsidRPr="009A7E28" w:rsidRDefault="00AB42BA" w:rsidP="00BB6277">
            <w:pPr>
              <w:pStyle w:val="corpotestoinformativa"/>
              <w:numPr>
                <w:ilvl w:val="0"/>
                <w:numId w:val="33"/>
              </w:numPr>
              <w:spacing w:line="320" w:lineRule="exact"/>
              <w:ind w:left="304" w:hanging="304"/>
              <w:rPr>
                <w:rFonts w:ascii="PT Sans" w:hAnsi="PT Sans"/>
                <w:sz w:val="20"/>
              </w:rPr>
            </w:pPr>
            <w:r w:rsidRPr="009A7E28">
              <w:rPr>
                <w:rFonts w:ascii="PT Sans" w:hAnsi="PT Sans"/>
                <w:sz w:val="20"/>
              </w:rPr>
              <w:t>dipendente in trasferta con vettura aziendale;</w:t>
            </w:r>
          </w:p>
          <w:p w:rsidR="00AB42BA" w:rsidRPr="009A7E28" w:rsidRDefault="00AB42BA" w:rsidP="00BB6277">
            <w:pPr>
              <w:pStyle w:val="corpotestoinformativa"/>
              <w:numPr>
                <w:ilvl w:val="0"/>
                <w:numId w:val="33"/>
              </w:numPr>
              <w:spacing w:line="320" w:lineRule="exact"/>
              <w:ind w:left="304" w:hanging="304"/>
              <w:rPr>
                <w:rFonts w:ascii="PT Sans" w:hAnsi="PT Sans"/>
                <w:sz w:val="20"/>
              </w:rPr>
            </w:pPr>
            <w:r w:rsidRPr="009A7E28">
              <w:rPr>
                <w:rFonts w:ascii="PT Sans" w:hAnsi="PT Sans"/>
                <w:sz w:val="20"/>
              </w:rPr>
              <w:t>effettua rifornimento con carta a lui intestata (e non all’azienda);</w:t>
            </w:r>
          </w:p>
          <w:p w:rsidR="00AB42BA" w:rsidRPr="009A7E28" w:rsidRDefault="00AB42BA" w:rsidP="00BB6277">
            <w:pPr>
              <w:pStyle w:val="corpotestoinformativa"/>
              <w:numPr>
                <w:ilvl w:val="0"/>
                <w:numId w:val="33"/>
              </w:numPr>
              <w:spacing w:line="320" w:lineRule="exact"/>
              <w:ind w:left="304" w:hanging="304"/>
              <w:rPr>
                <w:rFonts w:ascii="PT Sans" w:hAnsi="PT Sans"/>
                <w:sz w:val="20"/>
              </w:rPr>
            </w:pPr>
            <w:r w:rsidRPr="009A7E28">
              <w:rPr>
                <w:rFonts w:ascii="PT Sans" w:hAnsi="PT Sans"/>
                <w:sz w:val="20"/>
              </w:rPr>
              <w:t>l’azienda rimborsa con strumento tracciato (ad esempio, tramite bonifico bancario unitamente alla retribuzione)</w:t>
            </w:r>
          </w:p>
        </w:tc>
      </w:tr>
      <w:tr w:rsidR="00AB42BA" w:rsidTr="006D664E">
        <w:tc>
          <w:tcPr>
            <w:tcW w:w="1964" w:type="dxa"/>
            <w:shd w:val="clear" w:color="auto" w:fill="auto"/>
            <w:vAlign w:val="center"/>
          </w:tcPr>
          <w:p w:rsidR="00AB42BA" w:rsidRPr="009A7E28" w:rsidRDefault="00AB42BA" w:rsidP="006D664E">
            <w:pPr>
              <w:pStyle w:val="corpotestoinformativa"/>
              <w:spacing w:line="320" w:lineRule="exact"/>
              <w:jc w:val="left"/>
              <w:rPr>
                <w:rFonts w:ascii="PT Sans" w:hAnsi="PT Sans"/>
                <w:b/>
                <w:i/>
                <w:sz w:val="20"/>
              </w:rPr>
            </w:pPr>
            <w:r w:rsidRPr="009A7E28">
              <w:rPr>
                <w:rFonts w:ascii="PT Sans" w:hAnsi="PT Sans"/>
                <w:b/>
                <w:i/>
                <w:sz w:val="20"/>
              </w:rPr>
              <w:lastRenderedPageBreak/>
              <w:t>Sistema del netting e delle convenzioni</w:t>
            </w:r>
          </w:p>
        </w:tc>
        <w:tc>
          <w:tcPr>
            <w:tcW w:w="7664" w:type="dxa"/>
            <w:gridSpan w:val="2"/>
            <w:shd w:val="clear" w:color="auto" w:fill="auto"/>
          </w:tcPr>
          <w:p w:rsidR="00AB42BA" w:rsidRPr="009A7E28" w:rsidRDefault="00AB42BA" w:rsidP="006D664E">
            <w:pPr>
              <w:pStyle w:val="corpotestoinformativa"/>
              <w:spacing w:line="320" w:lineRule="exact"/>
              <w:rPr>
                <w:rFonts w:ascii="PT Sans" w:hAnsi="PT Sans"/>
                <w:sz w:val="20"/>
              </w:rPr>
            </w:pPr>
            <w:r w:rsidRPr="009A7E28">
              <w:rPr>
                <w:rFonts w:ascii="PT Sans" w:hAnsi="PT Sans"/>
                <w:sz w:val="20"/>
              </w:rPr>
              <w:t>I vincoli sul pagamento tracciato si applicano anche quando, sulla scorta di specifici accordi, il pagamento avviene in un momento diverso rispetto alla cessione. È questo il caso delle carte utilizzate nei contratti c.d. di "</w:t>
            </w:r>
            <w:r w:rsidRPr="009A7E28">
              <w:rPr>
                <w:rFonts w:ascii="PT Sans" w:hAnsi="PT Sans"/>
                <w:i/>
                <w:sz w:val="20"/>
              </w:rPr>
              <w:t>netting</w:t>
            </w:r>
            <w:r w:rsidRPr="009A7E28">
              <w:rPr>
                <w:rFonts w:ascii="PT Sans" w:hAnsi="PT Sans"/>
                <w:sz w:val="20"/>
              </w:rPr>
              <w:t>" (circolari n. 205/E/1998 e n. 42/E/2012), o degli ulteriori sistemi, variamente denominati, che consentono al cessionario l'acquisto esclusivo di carburanti con medesima aliquota Iva, quando la cessione/ricarica della carta, sia regolata con gli stessi strumenti di pagamento sopra richiamati</w:t>
            </w:r>
          </w:p>
        </w:tc>
      </w:tr>
      <w:tr w:rsidR="00AB42BA" w:rsidTr="006D664E">
        <w:tc>
          <w:tcPr>
            <w:tcW w:w="1964" w:type="dxa"/>
            <w:vMerge w:val="restart"/>
            <w:shd w:val="clear" w:color="auto" w:fill="auto"/>
            <w:vAlign w:val="center"/>
          </w:tcPr>
          <w:p w:rsidR="00AB42BA" w:rsidRPr="009A7E28" w:rsidRDefault="00AB42BA" w:rsidP="006D664E">
            <w:pPr>
              <w:pStyle w:val="corpotestoinformativa"/>
              <w:spacing w:line="320" w:lineRule="exact"/>
              <w:jc w:val="left"/>
              <w:rPr>
                <w:rFonts w:ascii="PT Sans" w:hAnsi="PT Sans"/>
                <w:b/>
                <w:i/>
                <w:sz w:val="20"/>
              </w:rPr>
            </w:pPr>
            <w:r w:rsidRPr="009A7E28">
              <w:rPr>
                <w:rFonts w:ascii="PT Sans" w:hAnsi="PT Sans"/>
                <w:b/>
                <w:i/>
                <w:sz w:val="20"/>
              </w:rPr>
              <w:t>Buoni e card: nuovo scenario definitivo dal 2019</w:t>
            </w:r>
          </w:p>
        </w:tc>
        <w:tc>
          <w:tcPr>
            <w:tcW w:w="1505" w:type="dxa"/>
            <w:shd w:val="clear" w:color="auto" w:fill="auto"/>
            <w:vAlign w:val="center"/>
          </w:tcPr>
          <w:p w:rsidR="00AB42BA" w:rsidRPr="009A7E28" w:rsidRDefault="00AB42BA" w:rsidP="006D664E">
            <w:pPr>
              <w:pStyle w:val="corpotestoinformativa"/>
              <w:spacing w:line="320" w:lineRule="exact"/>
              <w:jc w:val="left"/>
              <w:rPr>
                <w:rFonts w:ascii="PT Sans" w:hAnsi="PT Sans"/>
                <w:sz w:val="20"/>
              </w:rPr>
            </w:pPr>
            <w:r w:rsidRPr="009A7E28">
              <w:rPr>
                <w:rFonts w:ascii="PT Sans" w:hAnsi="PT Sans"/>
                <w:sz w:val="20"/>
              </w:rPr>
              <w:t>Buono o carta monouso</w:t>
            </w:r>
          </w:p>
        </w:tc>
        <w:tc>
          <w:tcPr>
            <w:tcW w:w="6159" w:type="dxa"/>
            <w:shd w:val="clear" w:color="auto" w:fill="auto"/>
          </w:tcPr>
          <w:p w:rsidR="00AB42BA" w:rsidRPr="009A7E28" w:rsidRDefault="00AB42BA" w:rsidP="00BB6277">
            <w:pPr>
              <w:pStyle w:val="corpotestoinformativa"/>
              <w:numPr>
                <w:ilvl w:val="0"/>
                <w:numId w:val="31"/>
              </w:numPr>
              <w:spacing w:line="320" w:lineRule="exact"/>
              <w:ind w:left="269" w:hanging="269"/>
              <w:rPr>
                <w:rFonts w:ascii="PT Sans" w:hAnsi="PT Sans"/>
                <w:sz w:val="20"/>
              </w:rPr>
            </w:pPr>
            <w:r w:rsidRPr="009A7E28">
              <w:rPr>
                <w:rFonts w:ascii="PT Sans" w:hAnsi="PT Sans"/>
                <w:sz w:val="20"/>
              </w:rPr>
              <w:t>buoni carburante, carte ricaricabili o non ricaricabili, che consentono di recarsi presso un impianto stradale di distribuzione gestito dalla medesima compagnia e rifornirsi di benzina secondo l'accordo tra le parti;</w:t>
            </w:r>
          </w:p>
          <w:p w:rsidR="00AB42BA" w:rsidRPr="009A7E28" w:rsidRDefault="00AB42BA" w:rsidP="00BB6277">
            <w:pPr>
              <w:pStyle w:val="corpotestoinformativa"/>
              <w:numPr>
                <w:ilvl w:val="0"/>
                <w:numId w:val="31"/>
              </w:numPr>
              <w:spacing w:line="320" w:lineRule="exact"/>
              <w:ind w:left="269" w:hanging="269"/>
              <w:rPr>
                <w:rFonts w:ascii="PT Sans" w:hAnsi="PT Sans"/>
                <w:sz w:val="20"/>
              </w:rPr>
            </w:pPr>
            <w:r w:rsidRPr="009A7E28">
              <w:rPr>
                <w:rFonts w:ascii="PT Sans" w:hAnsi="PT Sans"/>
                <w:sz w:val="20"/>
              </w:rPr>
              <w:t>obbligo di emissione di fattura elettronica al momento della cessione/ricarica</w:t>
            </w:r>
          </w:p>
        </w:tc>
      </w:tr>
      <w:tr w:rsidR="00AB42BA" w:rsidTr="006D664E">
        <w:tc>
          <w:tcPr>
            <w:tcW w:w="1964" w:type="dxa"/>
            <w:vMerge/>
            <w:shd w:val="clear" w:color="auto" w:fill="auto"/>
          </w:tcPr>
          <w:p w:rsidR="00AB42BA" w:rsidRPr="009A7E28" w:rsidRDefault="00AB42BA" w:rsidP="006D664E">
            <w:pPr>
              <w:pStyle w:val="corpotestoinformativa"/>
              <w:spacing w:line="320" w:lineRule="exact"/>
              <w:rPr>
                <w:rFonts w:ascii="PT Sans" w:hAnsi="PT Sans"/>
                <w:b/>
                <w:i/>
                <w:sz w:val="20"/>
              </w:rPr>
            </w:pPr>
          </w:p>
        </w:tc>
        <w:tc>
          <w:tcPr>
            <w:tcW w:w="1505" w:type="dxa"/>
            <w:shd w:val="clear" w:color="auto" w:fill="auto"/>
            <w:vAlign w:val="center"/>
          </w:tcPr>
          <w:p w:rsidR="00AB42BA" w:rsidRPr="009A7E28" w:rsidRDefault="00AB42BA" w:rsidP="006D664E">
            <w:pPr>
              <w:pStyle w:val="corpotestoinformativa"/>
              <w:spacing w:line="320" w:lineRule="exact"/>
              <w:jc w:val="left"/>
              <w:rPr>
                <w:rFonts w:ascii="PT Sans" w:hAnsi="PT Sans"/>
                <w:sz w:val="20"/>
              </w:rPr>
            </w:pPr>
            <w:r w:rsidRPr="009A7E28">
              <w:rPr>
                <w:rFonts w:ascii="PT Sans" w:hAnsi="PT Sans"/>
                <w:sz w:val="20"/>
              </w:rPr>
              <w:t>Buono o carta multiuso</w:t>
            </w:r>
          </w:p>
          <w:p w:rsidR="00AB42BA" w:rsidRPr="009A7E28" w:rsidRDefault="00AB42BA" w:rsidP="006D664E">
            <w:pPr>
              <w:pStyle w:val="corpotestoinformativa"/>
              <w:spacing w:line="320" w:lineRule="exact"/>
              <w:jc w:val="left"/>
              <w:rPr>
                <w:rFonts w:ascii="PT Sans" w:hAnsi="PT Sans"/>
                <w:sz w:val="20"/>
              </w:rPr>
            </w:pPr>
            <w:r w:rsidRPr="009A7E28">
              <w:rPr>
                <w:rFonts w:ascii="PT Sans" w:hAnsi="PT Sans"/>
                <w:sz w:val="20"/>
              </w:rPr>
              <w:t>(titoli di legittimazione)</w:t>
            </w:r>
          </w:p>
        </w:tc>
        <w:tc>
          <w:tcPr>
            <w:tcW w:w="6159" w:type="dxa"/>
            <w:shd w:val="clear" w:color="auto" w:fill="auto"/>
          </w:tcPr>
          <w:p w:rsidR="00AB42BA" w:rsidRPr="009A7E28" w:rsidRDefault="00AB42BA" w:rsidP="00BB6277">
            <w:pPr>
              <w:pStyle w:val="corpotestoinformativa"/>
              <w:numPr>
                <w:ilvl w:val="0"/>
                <w:numId w:val="31"/>
              </w:numPr>
              <w:spacing w:line="320" w:lineRule="exact"/>
              <w:ind w:left="269" w:hanging="269"/>
              <w:rPr>
                <w:rFonts w:ascii="PT Sans" w:hAnsi="PT Sans"/>
                <w:sz w:val="20"/>
              </w:rPr>
            </w:pPr>
            <w:r w:rsidRPr="009A7E28">
              <w:rPr>
                <w:rFonts w:ascii="PT Sans" w:hAnsi="PT Sans"/>
                <w:sz w:val="20"/>
              </w:rPr>
              <w:t>buoni carburante, carte ricaricabili o non ricaricabili, che consentono di rifornirsi presso plurimi soggetti (impianti gestiti da diverse compagnie, da singoli imprenditori, pompe c.d. "bianche", etc.) ovvero che consentono l'acquisto di più beni e servizi;</w:t>
            </w:r>
          </w:p>
          <w:p w:rsidR="00AB42BA" w:rsidRPr="009A7E28" w:rsidRDefault="00AB42BA" w:rsidP="00BB6277">
            <w:pPr>
              <w:pStyle w:val="corpotestoinformativa"/>
              <w:numPr>
                <w:ilvl w:val="0"/>
                <w:numId w:val="31"/>
              </w:numPr>
              <w:spacing w:line="320" w:lineRule="exact"/>
              <w:ind w:left="269" w:hanging="269"/>
              <w:rPr>
                <w:rFonts w:ascii="PT Sans" w:hAnsi="PT Sans"/>
                <w:sz w:val="20"/>
              </w:rPr>
            </w:pPr>
            <w:r w:rsidRPr="009A7E28">
              <w:rPr>
                <w:rFonts w:ascii="PT Sans" w:hAnsi="PT Sans"/>
                <w:sz w:val="20"/>
              </w:rPr>
              <w:t>la cessione/ricarica non è soggetta a Iva e, conseguentemente, a quello di fatturazione in forma elettronica;</w:t>
            </w:r>
          </w:p>
          <w:p w:rsidR="00AB42BA" w:rsidRPr="009A7E28" w:rsidRDefault="00AB42BA" w:rsidP="00BB6277">
            <w:pPr>
              <w:pStyle w:val="corpotestoinformativa"/>
              <w:numPr>
                <w:ilvl w:val="0"/>
                <w:numId w:val="31"/>
              </w:numPr>
              <w:spacing w:line="320" w:lineRule="exact"/>
              <w:ind w:left="269" w:hanging="269"/>
              <w:rPr>
                <w:rFonts w:ascii="PT Sans" w:hAnsi="PT Sans"/>
                <w:sz w:val="20"/>
              </w:rPr>
            </w:pPr>
            <w:r w:rsidRPr="009A7E28">
              <w:rPr>
                <w:rFonts w:ascii="PT Sans" w:hAnsi="PT Sans"/>
                <w:sz w:val="20"/>
              </w:rPr>
              <w:t>nel caso di buoni per l'acquisto di benzina agevolata, si veda la circolare n. 30 del 1° agosto 1974)</w:t>
            </w:r>
          </w:p>
        </w:tc>
      </w:tr>
      <w:tr w:rsidR="00AB42BA" w:rsidTr="006D664E">
        <w:tc>
          <w:tcPr>
            <w:tcW w:w="1964" w:type="dxa"/>
            <w:vMerge/>
            <w:shd w:val="clear" w:color="auto" w:fill="auto"/>
          </w:tcPr>
          <w:p w:rsidR="00AB42BA" w:rsidRPr="009A7E28" w:rsidRDefault="00AB42BA" w:rsidP="006D664E">
            <w:pPr>
              <w:pStyle w:val="corpotestoinformativa"/>
              <w:spacing w:line="320" w:lineRule="exact"/>
              <w:rPr>
                <w:rFonts w:ascii="PT Sans" w:hAnsi="PT Sans"/>
                <w:b/>
                <w:i/>
                <w:sz w:val="20"/>
              </w:rPr>
            </w:pPr>
          </w:p>
        </w:tc>
        <w:tc>
          <w:tcPr>
            <w:tcW w:w="1505" w:type="dxa"/>
            <w:shd w:val="clear" w:color="auto" w:fill="auto"/>
            <w:vAlign w:val="center"/>
          </w:tcPr>
          <w:p w:rsidR="00AB42BA" w:rsidRPr="009A7E28" w:rsidRDefault="00AB42BA" w:rsidP="006D664E">
            <w:pPr>
              <w:pStyle w:val="corpotestoinformativa"/>
              <w:spacing w:line="320" w:lineRule="exact"/>
              <w:jc w:val="left"/>
              <w:rPr>
                <w:rFonts w:ascii="PT Sans" w:hAnsi="PT Sans"/>
                <w:sz w:val="20"/>
              </w:rPr>
            </w:pPr>
            <w:r w:rsidRPr="009A7E28">
              <w:rPr>
                <w:rFonts w:ascii="PT Sans" w:hAnsi="PT Sans"/>
                <w:sz w:val="20"/>
              </w:rPr>
              <w:t xml:space="preserve">Periodo transitorio sino al </w:t>
            </w:r>
          </w:p>
          <w:p w:rsidR="00AB42BA" w:rsidRPr="009A7E28" w:rsidRDefault="00AB42BA" w:rsidP="006D664E">
            <w:pPr>
              <w:pStyle w:val="corpotestoinformativa"/>
              <w:spacing w:line="320" w:lineRule="exact"/>
              <w:jc w:val="left"/>
              <w:rPr>
                <w:rFonts w:ascii="PT Sans" w:hAnsi="PT Sans"/>
                <w:sz w:val="20"/>
              </w:rPr>
            </w:pPr>
            <w:r w:rsidRPr="009A7E28">
              <w:rPr>
                <w:rFonts w:ascii="PT Sans" w:hAnsi="PT Sans"/>
                <w:sz w:val="20"/>
              </w:rPr>
              <w:t>31.12.2018</w:t>
            </w:r>
          </w:p>
        </w:tc>
        <w:tc>
          <w:tcPr>
            <w:tcW w:w="6159" w:type="dxa"/>
            <w:shd w:val="clear" w:color="auto" w:fill="auto"/>
          </w:tcPr>
          <w:p w:rsidR="00AB42BA" w:rsidRPr="009A7E28" w:rsidRDefault="00AB42BA" w:rsidP="006D664E">
            <w:pPr>
              <w:pStyle w:val="corpotestoinformativa"/>
              <w:spacing w:line="320" w:lineRule="exact"/>
              <w:rPr>
                <w:rFonts w:ascii="PT Sans" w:hAnsi="PT Sans"/>
                <w:sz w:val="20"/>
              </w:rPr>
            </w:pPr>
            <w:r w:rsidRPr="009A7E28">
              <w:rPr>
                <w:rFonts w:ascii="PT Sans" w:hAnsi="PT Sans"/>
                <w:sz w:val="20"/>
              </w:rPr>
              <w:t>Le differenze tra buono monouso e multiuso sono state introdotte dalla Direttiva 2016/1065 del 27 giugno 2016.</w:t>
            </w:r>
          </w:p>
          <w:p w:rsidR="00AB42BA" w:rsidRPr="009A7E28" w:rsidRDefault="00AB42BA" w:rsidP="006D664E">
            <w:pPr>
              <w:pStyle w:val="corpotestoinformativa"/>
              <w:spacing w:line="320" w:lineRule="exact"/>
              <w:rPr>
                <w:rFonts w:ascii="PT Sans" w:hAnsi="PT Sans"/>
                <w:sz w:val="20"/>
              </w:rPr>
            </w:pPr>
            <w:r w:rsidRPr="009A7E28">
              <w:rPr>
                <w:rFonts w:ascii="PT Sans" w:hAnsi="PT Sans"/>
                <w:sz w:val="20"/>
              </w:rPr>
              <w:t>Le nuove prescrizioni comunitarie troveranno applicazione per i buoni emessi dopo il 31 dicembre 2018; tuttavia, in precedenti documenti di prassi interna (ad esempio, circolare n. 30/1974), si era consentito, per i buoni carburante, un diverso comportamento.</w:t>
            </w:r>
          </w:p>
          <w:p w:rsidR="00AB42BA" w:rsidRPr="009A7E28" w:rsidRDefault="00AB42BA" w:rsidP="006D664E">
            <w:pPr>
              <w:pStyle w:val="corpotestoinformativa"/>
              <w:spacing w:line="320" w:lineRule="exact"/>
              <w:rPr>
                <w:rFonts w:ascii="PT Sans" w:hAnsi="PT Sans"/>
                <w:sz w:val="20"/>
              </w:rPr>
            </w:pPr>
            <w:r w:rsidRPr="009A7E28">
              <w:rPr>
                <w:rFonts w:ascii="PT Sans" w:hAnsi="PT Sans"/>
                <w:sz w:val="20"/>
              </w:rPr>
              <w:t>Pertanto, per i soli buoni emessi (e utilizzati) sino al 31 dicembre 2018, in difformità alle indicazioni di cui sopra, ma in conformità ai pregressi documenti di prassi, non si provvederà all’applicazione di sanzioni</w:t>
            </w:r>
          </w:p>
        </w:tc>
      </w:tr>
    </w:tbl>
    <w:p w:rsidR="00AB42BA" w:rsidRDefault="00AB42BA" w:rsidP="00AB42BA">
      <w:pPr>
        <w:pStyle w:val="corpotestoinformativa"/>
        <w:spacing w:line="320" w:lineRule="exact"/>
        <w:rPr>
          <w:rFonts w:ascii="PT Sans" w:hAnsi="PT Sans"/>
          <w:sz w:val="20"/>
        </w:rPr>
      </w:pPr>
    </w:p>
    <w:p w:rsidR="00AB42BA" w:rsidRPr="00752C5F" w:rsidRDefault="00AB42BA" w:rsidP="00AB42BA">
      <w:pPr>
        <w:pStyle w:val="corpotestoinformativa"/>
        <w:spacing w:line="320" w:lineRule="exact"/>
        <w:rPr>
          <w:rFonts w:ascii="PT Sans" w:hAnsi="PT Sans"/>
          <w:b/>
          <w:color w:val="006EB7"/>
        </w:rPr>
      </w:pPr>
      <w:r w:rsidRPr="00752C5F">
        <w:rPr>
          <w:rFonts w:ascii="PT Sans" w:hAnsi="PT Sans"/>
          <w:b/>
          <w:color w:val="006EB7"/>
        </w:rPr>
        <w:t>Il credito di imposta per i gestori di impianti di carburante</w:t>
      </w:r>
    </w:p>
    <w:p w:rsidR="00AB42BA" w:rsidRPr="00752C5F" w:rsidRDefault="00AB42BA" w:rsidP="00AB42BA">
      <w:pPr>
        <w:pStyle w:val="corpotestoinformativa"/>
        <w:spacing w:line="320" w:lineRule="exact"/>
        <w:rPr>
          <w:rFonts w:ascii="PT Sans" w:hAnsi="PT Sans"/>
        </w:rPr>
      </w:pPr>
      <w:r w:rsidRPr="00752C5F">
        <w:rPr>
          <w:rFonts w:ascii="PT Sans" w:hAnsi="PT Sans"/>
        </w:rPr>
        <w:t>I nuovi adempimenti relativi alla fattura elettronica e all’obbligo di pagamento tracciato impongono ai gestori di impianti di carburante costi per l’adeguamento della struttura ed il più frequente ricorso ai servizi del sistema interbancario.</w:t>
      </w:r>
    </w:p>
    <w:p w:rsidR="00AB42BA" w:rsidRPr="00752C5F" w:rsidRDefault="00AB42BA" w:rsidP="00AB42BA">
      <w:pPr>
        <w:pStyle w:val="corpotestoinformativa"/>
        <w:spacing w:line="320" w:lineRule="exact"/>
        <w:rPr>
          <w:rFonts w:ascii="PT Sans" w:hAnsi="PT Sans"/>
        </w:rPr>
      </w:pPr>
      <w:r w:rsidRPr="00752C5F">
        <w:rPr>
          <w:rFonts w:ascii="PT Sans" w:hAnsi="PT Sans"/>
        </w:rPr>
        <w:t>Per tale motivo la Legge di Bilancio 2018 prevede che agli stessi esercenti sia assegnato un credito d'imposta pari al 50% del totale delle commissioni addebitate per le transazioni effettuate, a partire dal 1° luglio 2018, tramite sistemi di pagamento elettronico mediante carte di credito, di debito o prepagate.</w:t>
      </w:r>
    </w:p>
    <w:p w:rsidR="00AB42BA" w:rsidRPr="00752C5F" w:rsidRDefault="00AB42BA" w:rsidP="00AB42BA">
      <w:pPr>
        <w:pStyle w:val="corpotestoinformativa"/>
        <w:spacing w:line="320" w:lineRule="exact"/>
        <w:rPr>
          <w:rFonts w:ascii="PT Sans" w:hAnsi="PT Sans"/>
        </w:rPr>
      </w:pPr>
      <w:r w:rsidRPr="00752C5F">
        <w:rPr>
          <w:rFonts w:ascii="PT Sans" w:hAnsi="PT Sans"/>
        </w:rPr>
        <w:t>I beneficiari sono tutti coloro che, in base ad un legittimo titolo (proprietà, affitto, etc.), svolgono l’attività richiamata e sostengono il costo di commissione.</w:t>
      </w:r>
    </w:p>
    <w:p w:rsidR="00AB42BA" w:rsidRDefault="00AB42BA" w:rsidP="00AB42BA">
      <w:pPr>
        <w:rPr>
          <w:rFonts w:ascii="PT Sans" w:hAnsi="PT Sans"/>
          <w:sz w:val="20"/>
          <w:szCs w:val="20"/>
        </w:rPr>
      </w:pPr>
    </w:p>
    <w:p w:rsidR="00AB42BA" w:rsidRPr="00AB42BA" w:rsidRDefault="00AB42BA" w:rsidP="00AB42BA">
      <w:pPr>
        <w:pStyle w:val="Corpodeltesto2"/>
        <w:spacing w:before="120" w:line="280" w:lineRule="exact"/>
        <w:jc w:val="center"/>
        <w:rPr>
          <w:rFonts w:ascii="PT Sans" w:hAnsi="PT Sans" w:cs="Arial"/>
          <w:b/>
        </w:rPr>
      </w:pPr>
      <w:r w:rsidRPr="00AB42BA">
        <w:rPr>
          <w:rFonts w:ascii="PT Sans" w:hAnsi="PT Sans" w:cs="Arial"/>
          <w:b/>
        </w:rPr>
        <w:t>**********</w:t>
      </w:r>
    </w:p>
    <w:p w:rsidR="00AB42BA" w:rsidRDefault="00AB42BA" w:rsidP="00AB42BA">
      <w:pPr>
        <w:pStyle w:val="Corpodeltesto2"/>
        <w:spacing w:before="120" w:line="280" w:lineRule="exact"/>
        <w:jc w:val="center"/>
        <w:rPr>
          <w:rFonts w:ascii="Arial" w:hAnsi="Arial" w:cs="Arial"/>
          <w:b/>
        </w:rPr>
      </w:pPr>
    </w:p>
    <w:p w:rsidR="00AB42BA" w:rsidRPr="00F236E4" w:rsidRDefault="00AB42BA" w:rsidP="00AB42BA">
      <w:pPr>
        <w:pStyle w:val="Corpodeltesto2"/>
        <w:spacing w:before="120" w:line="320" w:lineRule="exact"/>
        <w:jc w:val="center"/>
        <w:rPr>
          <w:rFonts w:ascii="PT Sans" w:hAnsi="PT Sans" w:cs="Arial"/>
          <w:color w:val="333333"/>
          <w:sz w:val="22"/>
        </w:rPr>
      </w:pPr>
      <w:r w:rsidRPr="00F236E4">
        <w:rPr>
          <w:rFonts w:ascii="PT Sans" w:hAnsi="PT Sans" w:cs="Arial"/>
          <w:b/>
        </w:rPr>
        <w:t>CONTRASTO ALLE FRODI: AGGIORNATE LE PROCEDURE PER L’IMMATRICOLAZIONE DELLE AUTO PROVENIENTI DALLA UE</w:t>
      </w:r>
    </w:p>
    <w:p w:rsidR="00AB42BA" w:rsidRPr="00F236E4" w:rsidRDefault="00AB42BA" w:rsidP="00AB42BA">
      <w:pPr>
        <w:spacing w:line="320" w:lineRule="exact"/>
        <w:jc w:val="both"/>
        <w:rPr>
          <w:rFonts w:ascii="PT Sans" w:hAnsi="PT Sans" w:cs="Arial"/>
          <w:szCs w:val="22"/>
        </w:rPr>
      </w:pPr>
    </w:p>
    <w:p w:rsidR="00AB42BA" w:rsidRPr="00F236E4" w:rsidRDefault="00AB42BA" w:rsidP="00AB42BA">
      <w:pPr>
        <w:spacing w:line="320" w:lineRule="exact"/>
        <w:jc w:val="both"/>
        <w:rPr>
          <w:rFonts w:ascii="PT Sans" w:hAnsi="PT Sans" w:cs="Arial"/>
          <w:szCs w:val="22"/>
        </w:rPr>
      </w:pPr>
    </w:p>
    <w:p w:rsidR="00AB42BA" w:rsidRPr="00F236E4" w:rsidRDefault="00AB42BA" w:rsidP="00AB42BA">
      <w:pPr>
        <w:spacing w:line="320" w:lineRule="exact"/>
        <w:jc w:val="both"/>
        <w:rPr>
          <w:rFonts w:ascii="PT Sans" w:hAnsi="PT Sans" w:cs="Arial"/>
          <w:szCs w:val="22"/>
        </w:rPr>
      </w:pPr>
      <w:r w:rsidRPr="00F236E4">
        <w:rPr>
          <w:rFonts w:ascii="PT Sans" w:hAnsi="PT Sans" w:cs="Arial"/>
          <w:szCs w:val="22"/>
        </w:rPr>
        <w:t>Il persistere di forti criticità nel settore della compravendita dei veicoli, soprattutto se di provenienza comunitaria, ha portato alla recente emanazione di alcuni provvedimenti, sia da parte del Ministero</w:t>
      </w:r>
      <w:r>
        <w:rPr>
          <w:rFonts w:ascii="PT Sans" w:hAnsi="PT Sans" w:cs="Arial"/>
          <w:szCs w:val="22"/>
        </w:rPr>
        <w:t xml:space="preserve"> </w:t>
      </w:r>
      <w:r w:rsidRPr="00F236E4">
        <w:rPr>
          <w:rFonts w:ascii="PT Sans" w:hAnsi="PT Sans" w:cs="Arial"/>
          <w:szCs w:val="22"/>
        </w:rPr>
        <w:t>dell’</w:t>
      </w:r>
      <w:r>
        <w:rPr>
          <w:rFonts w:ascii="PT Sans" w:hAnsi="PT Sans" w:cs="Arial"/>
          <w:szCs w:val="22"/>
        </w:rPr>
        <w:t>e</w:t>
      </w:r>
      <w:r w:rsidRPr="00F236E4">
        <w:rPr>
          <w:rFonts w:ascii="PT Sans" w:hAnsi="PT Sans" w:cs="Arial"/>
          <w:szCs w:val="22"/>
        </w:rPr>
        <w:t xml:space="preserve">conomia e delle </w:t>
      </w:r>
      <w:r>
        <w:rPr>
          <w:rFonts w:ascii="PT Sans" w:hAnsi="PT Sans" w:cs="Arial"/>
          <w:szCs w:val="22"/>
        </w:rPr>
        <w:t>f</w:t>
      </w:r>
      <w:r w:rsidRPr="00F236E4">
        <w:rPr>
          <w:rFonts w:ascii="PT Sans" w:hAnsi="PT Sans" w:cs="Arial"/>
          <w:szCs w:val="22"/>
        </w:rPr>
        <w:t xml:space="preserve">inanze (Mef) sia da parte dell’Agenzia delle </w:t>
      </w:r>
      <w:r>
        <w:rPr>
          <w:rFonts w:ascii="PT Sans" w:hAnsi="PT Sans" w:cs="Arial"/>
          <w:szCs w:val="22"/>
        </w:rPr>
        <w:t>e</w:t>
      </w:r>
      <w:r w:rsidRPr="00F236E4">
        <w:rPr>
          <w:rFonts w:ascii="PT Sans" w:hAnsi="PT Sans" w:cs="Arial"/>
          <w:szCs w:val="22"/>
        </w:rPr>
        <w:t xml:space="preserve">ntrate, con l’intento di rendere più incisivo il contrasto alle frodi ancora presenti in tale settore. </w:t>
      </w:r>
    </w:p>
    <w:p w:rsidR="00AB42BA" w:rsidRPr="00F236E4" w:rsidRDefault="00AB42BA" w:rsidP="00AB42BA">
      <w:pPr>
        <w:spacing w:line="320" w:lineRule="exact"/>
        <w:jc w:val="both"/>
        <w:rPr>
          <w:rFonts w:ascii="PT Sans" w:hAnsi="PT Sans" w:cs="Arial"/>
          <w:szCs w:val="22"/>
        </w:rPr>
      </w:pPr>
      <w:r w:rsidRPr="00F236E4">
        <w:rPr>
          <w:rFonts w:ascii="PT Sans" w:hAnsi="PT Sans" w:cs="Arial"/>
          <w:szCs w:val="22"/>
        </w:rPr>
        <w:t xml:space="preserve">In particolare, con il </w:t>
      </w:r>
      <w:r w:rsidRPr="00D805E5">
        <w:rPr>
          <w:rFonts w:ascii="PT Sans" w:hAnsi="PT Sans" w:cs="Arial"/>
          <w:szCs w:val="22"/>
        </w:rPr>
        <w:t>D.M. Infrastrutture e Trasporti datato 26 marzo 2018,</w:t>
      </w:r>
      <w:r w:rsidRPr="00F236E4">
        <w:rPr>
          <w:rFonts w:ascii="PT Sans" w:hAnsi="PT Sans" w:cs="Arial"/>
          <w:szCs w:val="22"/>
        </w:rPr>
        <w:t xml:space="preserve"> in vigore dallo scorso 5 aprile 2018, vengono aggiornati gli obblighi di comunicazione in materia di acquisto e di scambio di autoveicoli di provenienza intracomunitaria, mentre, con il più recente </w:t>
      </w:r>
      <w:r>
        <w:rPr>
          <w:rFonts w:ascii="PT Sans" w:hAnsi="PT Sans" w:cs="Arial"/>
          <w:szCs w:val="22"/>
        </w:rPr>
        <w:t>p</w:t>
      </w:r>
      <w:r w:rsidRPr="00D805E5">
        <w:rPr>
          <w:rFonts w:ascii="PT Sans" w:hAnsi="PT Sans" w:cs="Arial"/>
          <w:szCs w:val="22"/>
        </w:rPr>
        <w:t>rovvedimento direttoriale dell’Agenzia delle entrate, n.</w:t>
      </w:r>
      <w:r>
        <w:rPr>
          <w:rFonts w:ascii="PT Sans" w:hAnsi="PT Sans" w:cs="Arial"/>
          <w:szCs w:val="22"/>
        </w:rPr>
        <w:t xml:space="preserve"> </w:t>
      </w:r>
      <w:r w:rsidRPr="00D805E5">
        <w:rPr>
          <w:rFonts w:ascii="PT Sans" w:hAnsi="PT Sans" w:cs="Arial"/>
          <w:szCs w:val="22"/>
        </w:rPr>
        <w:t>2018/84332 del 19 aprile 2018, vengono meglio</w:t>
      </w:r>
      <w:r w:rsidRPr="00F236E4">
        <w:rPr>
          <w:rFonts w:ascii="PT Sans" w:hAnsi="PT Sans" w:cs="Arial"/>
          <w:szCs w:val="22"/>
        </w:rPr>
        <w:t xml:space="preserve"> definite le competenze territoriali nonché la documentazione da esibire per la presentazione delle istanze connesse all'immatricolazione di autoveicoli e motoveicoli di provenienza comunitaria.</w:t>
      </w:r>
    </w:p>
    <w:p w:rsidR="00AB42BA" w:rsidRPr="00F236E4" w:rsidRDefault="00AB42BA" w:rsidP="00AB42BA">
      <w:pPr>
        <w:spacing w:line="320" w:lineRule="exact"/>
        <w:jc w:val="both"/>
        <w:rPr>
          <w:rFonts w:ascii="PT Sans" w:hAnsi="PT Sans" w:cs="Arial"/>
          <w:szCs w:val="22"/>
        </w:rPr>
      </w:pPr>
    </w:p>
    <w:p w:rsidR="00AB42BA" w:rsidRPr="00D805E5" w:rsidRDefault="00AB42BA" w:rsidP="00AB42BA">
      <w:pPr>
        <w:spacing w:line="320" w:lineRule="exact"/>
        <w:jc w:val="both"/>
        <w:rPr>
          <w:rFonts w:ascii="PT Sans" w:hAnsi="PT Sans" w:cs="Arial"/>
          <w:b/>
          <w:color w:val="006EB7"/>
          <w:szCs w:val="22"/>
        </w:rPr>
      </w:pPr>
      <w:r w:rsidRPr="00D805E5">
        <w:rPr>
          <w:rFonts w:ascii="PT Sans" w:hAnsi="PT Sans" w:cs="Arial"/>
          <w:b/>
          <w:color w:val="006EB7"/>
          <w:szCs w:val="22"/>
        </w:rPr>
        <w:t>Provvedimento A</w:t>
      </w:r>
      <w:r>
        <w:rPr>
          <w:rFonts w:ascii="PT Sans" w:hAnsi="PT Sans" w:cs="Arial"/>
          <w:b/>
          <w:color w:val="006EB7"/>
          <w:szCs w:val="22"/>
        </w:rPr>
        <w:t xml:space="preserve">genzia delle entrate </w:t>
      </w:r>
      <w:r w:rsidRPr="00D805E5">
        <w:rPr>
          <w:rFonts w:ascii="PT Sans" w:hAnsi="PT Sans" w:cs="Arial"/>
          <w:b/>
          <w:color w:val="006EB7"/>
          <w:szCs w:val="22"/>
        </w:rPr>
        <w:t>del 19</w:t>
      </w:r>
      <w:r>
        <w:rPr>
          <w:rFonts w:ascii="PT Sans" w:hAnsi="PT Sans" w:cs="Arial"/>
          <w:b/>
          <w:color w:val="006EB7"/>
          <w:szCs w:val="22"/>
        </w:rPr>
        <w:t xml:space="preserve"> aprile </w:t>
      </w:r>
      <w:r w:rsidRPr="00D805E5">
        <w:rPr>
          <w:rFonts w:ascii="PT Sans" w:hAnsi="PT Sans" w:cs="Arial"/>
          <w:b/>
          <w:color w:val="006EB7"/>
          <w:szCs w:val="22"/>
        </w:rPr>
        <w:t>2018</w:t>
      </w:r>
    </w:p>
    <w:p w:rsidR="00AB42BA" w:rsidRPr="00F236E4" w:rsidRDefault="00AB42BA" w:rsidP="00AB42BA">
      <w:pPr>
        <w:spacing w:line="320" w:lineRule="exact"/>
        <w:jc w:val="both"/>
        <w:rPr>
          <w:rFonts w:ascii="PT Sans" w:hAnsi="PT Sans" w:cs="Arial"/>
          <w:szCs w:val="22"/>
        </w:rPr>
      </w:pPr>
      <w:r w:rsidRPr="00F236E4">
        <w:rPr>
          <w:rFonts w:ascii="PT Sans" w:hAnsi="PT Sans" w:cs="Arial"/>
          <w:szCs w:val="22"/>
        </w:rPr>
        <w:t xml:space="preserve">Il provvedimento in commento interviene per rendere più efficace il contrasto all’utilizzo improprio delle deroghe al sistema di versamento anticipato, previste per i veicoli acquistati in regime Iva del margine e per quelli utilizzati come beni strumentali all’attività d’impresa. </w:t>
      </w:r>
    </w:p>
    <w:p w:rsidR="00AB42BA" w:rsidRPr="00F236E4" w:rsidRDefault="00AB42BA" w:rsidP="00AB42BA">
      <w:pPr>
        <w:spacing w:line="320" w:lineRule="exact"/>
        <w:jc w:val="both"/>
        <w:rPr>
          <w:rFonts w:ascii="PT Sans" w:hAnsi="PT Sans" w:cs="Arial"/>
          <w:szCs w:val="22"/>
        </w:rPr>
      </w:pPr>
      <w:r w:rsidRPr="00F236E4">
        <w:rPr>
          <w:rFonts w:ascii="PT Sans" w:hAnsi="PT Sans" w:cs="Arial"/>
          <w:szCs w:val="22"/>
        </w:rPr>
        <w:t xml:space="preserve">In particolare, il provvedimento introduce l’obbligo per il contribuente di presentare le istanze necessarie all’immatricolazione di autoveicoli e motoveicoli di provenienza comunitaria solo presso la Direzione Provinciale territorialmente competente, in ragione del proprio domicilio fiscale. Tale obbligo risponde all’esigenza di agevolare e semplificare le attività di controllo connesse alla lavorazione delle istanze stesse. </w:t>
      </w:r>
    </w:p>
    <w:p w:rsidR="00AB42BA" w:rsidRPr="00F236E4" w:rsidRDefault="00AB42BA" w:rsidP="00AB42BA">
      <w:pPr>
        <w:spacing w:line="320" w:lineRule="exact"/>
        <w:jc w:val="both"/>
        <w:rPr>
          <w:rFonts w:ascii="PT Sans" w:hAnsi="PT Sans" w:cs="Arial"/>
          <w:szCs w:val="22"/>
        </w:rPr>
      </w:pPr>
      <w:r w:rsidRPr="00F236E4">
        <w:rPr>
          <w:rFonts w:ascii="PT Sans" w:hAnsi="PT Sans" w:cs="Arial"/>
          <w:szCs w:val="22"/>
        </w:rPr>
        <w:t>Analogamente, la riscontrata contraffazione della documentazione presentata in copia rende indispensabile, al fine di poter procedere alla immatricolazione del veicolo, l’esibizione in originale della suddetta documentazione e l’acquisizione, da parte della Direzione Provinciale territorialmente competente, della copia conforme.</w:t>
      </w:r>
    </w:p>
    <w:p w:rsidR="00AB42BA" w:rsidRPr="00D805E5" w:rsidRDefault="00AB42BA" w:rsidP="00AB42BA">
      <w:pPr>
        <w:spacing w:before="60" w:line="320" w:lineRule="exact"/>
        <w:jc w:val="both"/>
        <w:rPr>
          <w:rFonts w:ascii="PT Sans" w:hAnsi="PT Sans" w:cs="Arial"/>
          <w:b/>
          <w:szCs w:val="22"/>
        </w:rPr>
      </w:pPr>
    </w:p>
    <w:p w:rsidR="00AB42BA" w:rsidRPr="00D805E5" w:rsidRDefault="00AB42BA" w:rsidP="00AB42BA">
      <w:pPr>
        <w:spacing w:line="360" w:lineRule="auto"/>
        <w:jc w:val="both"/>
        <w:rPr>
          <w:rFonts w:ascii="Arial" w:hAnsi="Arial" w:cs="Arial"/>
          <w:b/>
          <w:color w:val="006EB7"/>
          <w:szCs w:val="22"/>
        </w:rPr>
      </w:pPr>
      <w:r w:rsidRPr="00D805E5">
        <w:rPr>
          <w:rFonts w:ascii="Arial" w:hAnsi="Arial" w:cs="Arial"/>
          <w:b/>
          <w:color w:val="006EB7"/>
          <w:szCs w:val="22"/>
        </w:rPr>
        <w:t>Istanze da presentare obbligatoriamente alla Direzione Provinciale competente</w:t>
      </w:r>
    </w:p>
    <w:tbl>
      <w:tblPr>
        <w:tblW w:w="0" w:type="auto"/>
        <w:tblInd w:w="108" w:type="dxa"/>
        <w:tblBorders>
          <w:top w:val="single" w:sz="4" w:space="0" w:color="006EB7"/>
          <w:left w:val="single" w:sz="4" w:space="0" w:color="006EB7"/>
          <w:bottom w:val="single" w:sz="4" w:space="0" w:color="006EB7"/>
          <w:right w:val="single" w:sz="4" w:space="0" w:color="006EB7"/>
          <w:insideH w:val="single" w:sz="4" w:space="0" w:color="006EB7"/>
          <w:insideV w:val="single" w:sz="4" w:space="0" w:color="006EB7"/>
        </w:tblBorders>
        <w:tblLook w:val="04A0" w:firstRow="1" w:lastRow="0" w:firstColumn="1" w:lastColumn="0" w:noHBand="0" w:noVBand="1"/>
      </w:tblPr>
      <w:tblGrid>
        <w:gridCol w:w="1985"/>
        <w:gridCol w:w="7654"/>
      </w:tblGrid>
      <w:tr w:rsidR="00AB42BA" w:rsidRPr="00D805E5" w:rsidTr="006D664E">
        <w:tc>
          <w:tcPr>
            <w:tcW w:w="1985" w:type="dxa"/>
            <w:shd w:val="clear" w:color="auto" w:fill="B2D3E9"/>
          </w:tcPr>
          <w:p w:rsidR="00AB42BA" w:rsidRPr="00D805E5" w:rsidRDefault="00AB42BA" w:rsidP="006D664E">
            <w:pPr>
              <w:spacing w:line="280" w:lineRule="exact"/>
              <w:rPr>
                <w:rFonts w:ascii="PT Sans" w:hAnsi="PT Sans" w:cs="Arial"/>
                <w:b/>
                <w:sz w:val="20"/>
                <w:szCs w:val="22"/>
              </w:rPr>
            </w:pPr>
            <w:r w:rsidRPr="00D805E5">
              <w:rPr>
                <w:rFonts w:ascii="PT Sans" w:hAnsi="PT Sans" w:cs="Arial"/>
                <w:b/>
                <w:sz w:val="20"/>
                <w:szCs w:val="22"/>
              </w:rPr>
              <w:t>Regime del margine</w:t>
            </w:r>
          </w:p>
        </w:tc>
        <w:tc>
          <w:tcPr>
            <w:tcW w:w="7654" w:type="dxa"/>
            <w:shd w:val="clear" w:color="auto" w:fill="auto"/>
          </w:tcPr>
          <w:p w:rsidR="00AB42BA" w:rsidRPr="00D805E5" w:rsidRDefault="00AB42BA" w:rsidP="00BB6277">
            <w:pPr>
              <w:numPr>
                <w:ilvl w:val="0"/>
                <w:numId w:val="10"/>
              </w:numPr>
              <w:spacing w:line="280" w:lineRule="exact"/>
              <w:jc w:val="both"/>
              <w:rPr>
                <w:rFonts w:ascii="PT Sans" w:hAnsi="PT Sans" w:cs="Arial"/>
                <w:sz w:val="20"/>
                <w:szCs w:val="22"/>
              </w:rPr>
            </w:pPr>
            <w:r w:rsidRPr="00D805E5">
              <w:rPr>
                <w:rFonts w:ascii="PT Sans" w:hAnsi="PT Sans" w:cs="Arial"/>
                <w:sz w:val="20"/>
                <w:szCs w:val="22"/>
              </w:rPr>
              <w:t>istanza per la comunicazione al CED del Dipartimento per i trasporti degli estremi identificativi di autoveicoli e motoveicoli usati, al fine di consentirne l’immatricolazione in esclusione dal versamento dell’Iva, ove acquistati nell’esercizio di imprese, arti e professioni, da operatori residenti in altri Stati membri dell’Unione Europea e rientranti nel regime Iva del margine</w:t>
            </w:r>
          </w:p>
        </w:tc>
      </w:tr>
      <w:tr w:rsidR="00AB42BA" w:rsidRPr="00D805E5" w:rsidTr="006D664E">
        <w:tc>
          <w:tcPr>
            <w:tcW w:w="1985" w:type="dxa"/>
            <w:shd w:val="clear" w:color="auto" w:fill="B2D3E9"/>
          </w:tcPr>
          <w:p w:rsidR="00AB42BA" w:rsidRPr="00D805E5" w:rsidRDefault="00AB42BA" w:rsidP="006D664E">
            <w:pPr>
              <w:spacing w:line="340" w:lineRule="exact"/>
              <w:rPr>
                <w:rFonts w:ascii="PT Sans" w:hAnsi="PT Sans" w:cs="Arial"/>
                <w:b/>
                <w:sz w:val="20"/>
                <w:szCs w:val="22"/>
              </w:rPr>
            </w:pPr>
            <w:r w:rsidRPr="00D805E5">
              <w:rPr>
                <w:rFonts w:ascii="PT Sans" w:hAnsi="PT Sans" w:cs="Arial"/>
                <w:b/>
                <w:sz w:val="20"/>
                <w:szCs w:val="22"/>
              </w:rPr>
              <w:t>Beni strumentali</w:t>
            </w:r>
          </w:p>
        </w:tc>
        <w:tc>
          <w:tcPr>
            <w:tcW w:w="7654" w:type="dxa"/>
            <w:shd w:val="clear" w:color="auto" w:fill="auto"/>
          </w:tcPr>
          <w:p w:rsidR="00AB42BA" w:rsidRPr="00D805E5" w:rsidRDefault="00AB42BA" w:rsidP="00BB6277">
            <w:pPr>
              <w:numPr>
                <w:ilvl w:val="0"/>
                <w:numId w:val="10"/>
              </w:numPr>
              <w:spacing w:line="340" w:lineRule="exact"/>
              <w:ind w:left="357" w:hanging="357"/>
              <w:jc w:val="both"/>
              <w:rPr>
                <w:rFonts w:ascii="PT Sans" w:hAnsi="PT Sans" w:cs="Arial"/>
                <w:sz w:val="20"/>
                <w:szCs w:val="22"/>
              </w:rPr>
            </w:pPr>
            <w:r w:rsidRPr="00D805E5">
              <w:rPr>
                <w:rFonts w:ascii="PT Sans" w:hAnsi="PT Sans" w:cs="Arial"/>
                <w:sz w:val="20"/>
                <w:szCs w:val="22"/>
              </w:rPr>
              <w:t>istanza per la comunicazione al CED del Dipartimento per i trasporti degli estremi identificativi di autoveicoli e motoveicoli usati, al fine di consentirne l’immatricolazione in esclusione dal versamento dell’Iva, ove acquistati nell’esercizio di imprese, arti e professioni, da operatori residenti in altri Stati membri dell’Unione Europea e destinati ad essere utilizzati come beni strumentali all’esercizio dell’attività di impresa</w:t>
            </w:r>
          </w:p>
        </w:tc>
      </w:tr>
      <w:tr w:rsidR="00AB42BA" w:rsidRPr="00D805E5" w:rsidTr="006D664E">
        <w:tc>
          <w:tcPr>
            <w:tcW w:w="1985" w:type="dxa"/>
            <w:shd w:val="clear" w:color="auto" w:fill="B2D3E9"/>
          </w:tcPr>
          <w:p w:rsidR="00AB42BA" w:rsidRPr="00D805E5" w:rsidRDefault="00AB42BA" w:rsidP="006D664E">
            <w:pPr>
              <w:spacing w:line="340" w:lineRule="exact"/>
              <w:rPr>
                <w:rFonts w:ascii="PT Sans" w:hAnsi="PT Sans" w:cs="Arial"/>
                <w:b/>
                <w:sz w:val="20"/>
                <w:szCs w:val="22"/>
              </w:rPr>
            </w:pPr>
            <w:r w:rsidRPr="00D805E5">
              <w:rPr>
                <w:rFonts w:ascii="PT Sans" w:hAnsi="PT Sans" w:cs="Arial"/>
                <w:b/>
                <w:sz w:val="20"/>
                <w:szCs w:val="22"/>
              </w:rPr>
              <w:t>Importi insufficienti</w:t>
            </w:r>
          </w:p>
          <w:p w:rsidR="00AB42BA" w:rsidRPr="00D805E5" w:rsidRDefault="00AB42BA" w:rsidP="006D664E">
            <w:pPr>
              <w:spacing w:line="340" w:lineRule="exact"/>
              <w:rPr>
                <w:rFonts w:ascii="PT Sans" w:hAnsi="PT Sans" w:cs="Arial"/>
                <w:b/>
                <w:sz w:val="20"/>
                <w:szCs w:val="22"/>
              </w:rPr>
            </w:pPr>
            <w:r w:rsidRPr="00D805E5">
              <w:rPr>
                <w:rFonts w:ascii="PT Sans" w:hAnsi="PT Sans" w:cs="Arial"/>
                <w:b/>
                <w:sz w:val="20"/>
                <w:szCs w:val="22"/>
              </w:rPr>
              <w:t>o incongruenti</w:t>
            </w:r>
          </w:p>
        </w:tc>
        <w:tc>
          <w:tcPr>
            <w:tcW w:w="7654" w:type="dxa"/>
            <w:shd w:val="clear" w:color="auto" w:fill="auto"/>
          </w:tcPr>
          <w:p w:rsidR="00AB42BA" w:rsidRPr="00D805E5" w:rsidRDefault="00AB42BA" w:rsidP="00BB6277">
            <w:pPr>
              <w:numPr>
                <w:ilvl w:val="0"/>
                <w:numId w:val="10"/>
              </w:numPr>
              <w:spacing w:line="340" w:lineRule="exact"/>
              <w:ind w:left="357" w:hanging="357"/>
              <w:jc w:val="both"/>
              <w:rPr>
                <w:rFonts w:ascii="PT Sans" w:hAnsi="PT Sans" w:cs="Arial"/>
                <w:sz w:val="20"/>
                <w:szCs w:val="22"/>
              </w:rPr>
            </w:pPr>
            <w:r w:rsidRPr="00D805E5">
              <w:rPr>
                <w:rFonts w:ascii="PT Sans" w:hAnsi="PT Sans" w:cs="Arial"/>
                <w:sz w:val="20"/>
                <w:szCs w:val="22"/>
              </w:rPr>
              <w:t>istanza di validazione di un versamento effettuato con modello “F24 Versamenti con elementi identificativi” per un importo insufficiente ovvero incongruente</w:t>
            </w:r>
          </w:p>
        </w:tc>
      </w:tr>
      <w:tr w:rsidR="00AB42BA" w:rsidRPr="00D805E5" w:rsidTr="006D664E">
        <w:tc>
          <w:tcPr>
            <w:tcW w:w="1985" w:type="dxa"/>
            <w:shd w:val="clear" w:color="auto" w:fill="B2D3E9"/>
          </w:tcPr>
          <w:p w:rsidR="00AB42BA" w:rsidRPr="00D805E5" w:rsidRDefault="00AB42BA" w:rsidP="006D664E">
            <w:pPr>
              <w:spacing w:line="340" w:lineRule="exact"/>
              <w:rPr>
                <w:rFonts w:ascii="PT Sans" w:hAnsi="PT Sans" w:cs="Arial"/>
                <w:b/>
                <w:sz w:val="20"/>
                <w:szCs w:val="22"/>
              </w:rPr>
            </w:pPr>
            <w:r w:rsidRPr="00D805E5">
              <w:rPr>
                <w:rFonts w:ascii="PT Sans" w:hAnsi="PT Sans" w:cs="Arial"/>
                <w:b/>
                <w:sz w:val="20"/>
                <w:szCs w:val="22"/>
              </w:rPr>
              <w:t xml:space="preserve">Acquisti da portatori </w:t>
            </w:r>
            <w:r w:rsidRPr="00D805E5">
              <w:rPr>
                <w:rFonts w:ascii="PT Sans" w:hAnsi="PT Sans" w:cs="Arial"/>
                <w:b/>
                <w:i/>
                <w:sz w:val="20"/>
                <w:szCs w:val="22"/>
              </w:rPr>
              <w:t>handicap</w:t>
            </w:r>
            <w:r w:rsidRPr="00D805E5">
              <w:rPr>
                <w:rFonts w:ascii="PT Sans" w:hAnsi="PT Sans" w:cs="Arial"/>
                <w:b/>
                <w:sz w:val="20"/>
                <w:szCs w:val="22"/>
              </w:rPr>
              <w:t xml:space="preserve"> ad aliquota agevolata</w:t>
            </w:r>
          </w:p>
        </w:tc>
        <w:tc>
          <w:tcPr>
            <w:tcW w:w="7654" w:type="dxa"/>
            <w:shd w:val="clear" w:color="auto" w:fill="auto"/>
          </w:tcPr>
          <w:p w:rsidR="00AB42BA" w:rsidRPr="00D805E5" w:rsidRDefault="00AB42BA" w:rsidP="00BB6277">
            <w:pPr>
              <w:numPr>
                <w:ilvl w:val="0"/>
                <w:numId w:val="10"/>
              </w:numPr>
              <w:spacing w:line="340" w:lineRule="exact"/>
              <w:ind w:left="357" w:hanging="357"/>
              <w:jc w:val="both"/>
              <w:rPr>
                <w:rFonts w:ascii="PT Sans" w:hAnsi="PT Sans" w:cs="Arial"/>
                <w:sz w:val="20"/>
                <w:szCs w:val="22"/>
              </w:rPr>
            </w:pPr>
            <w:r w:rsidRPr="00D805E5">
              <w:rPr>
                <w:rFonts w:ascii="PT Sans" w:hAnsi="PT Sans" w:cs="Arial"/>
                <w:sz w:val="20"/>
                <w:szCs w:val="22"/>
              </w:rPr>
              <w:t xml:space="preserve">istanza di validazione di un versamento di imposta effettuato con modello “F24 Versamenti con elementi identificativi” per un importo corrispondente all’imposta calcolata secondo l’aliquota Iva ridotta per i casi in cui l’intestatario del veicolo sia un portatore di handicap </w:t>
            </w:r>
            <w:r>
              <w:rPr>
                <w:rFonts w:ascii="PT Sans" w:hAnsi="PT Sans" w:cs="Arial"/>
                <w:sz w:val="20"/>
                <w:szCs w:val="22"/>
              </w:rPr>
              <w:t>avente diritto all’agevolazione</w:t>
            </w:r>
          </w:p>
        </w:tc>
      </w:tr>
    </w:tbl>
    <w:p w:rsidR="00AB42BA" w:rsidRPr="00D805E5" w:rsidRDefault="00AB42BA" w:rsidP="00AB42BA">
      <w:pPr>
        <w:spacing w:before="120" w:line="340" w:lineRule="exact"/>
        <w:jc w:val="both"/>
        <w:rPr>
          <w:rFonts w:ascii="PT Sans" w:hAnsi="PT Sans" w:cs="Arial"/>
          <w:szCs w:val="22"/>
        </w:rPr>
      </w:pPr>
      <w:r w:rsidRPr="00D805E5">
        <w:rPr>
          <w:rFonts w:ascii="PT Sans" w:hAnsi="PT Sans" w:cs="Arial"/>
          <w:szCs w:val="22"/>
        </w:rPr>
        <w:t>Con riferimento alle istanze di correzione del numero di telaio errato del veicolo indicato sul modello “</w:t>
      </w:r>
      <w:r w:rsidRPr="00D805E5">
        <w:rPr>
          <w:rFonts w:ascii="PT Sans" w:hAnsi="PT Sans" w:cs="Arial"/>
          <w:i/>
          <w:szCs w:val="22"/>
        </w:rPr>
        <w:t>F24 Versamenti con elementi identificativi</w:t>
      </w:r>
      <w:r w:rsidRPr="00D805E5">
        <w:rPr>
          <w:rFonts w:ascii="PT Sans" w:hAnsi="PT Sans" w:cs="Arial"/>
          <w:szCs w:val="22"/>
        </w:rPr>
        <w:t>” che abbia comportato il mancato abbinamento del versamento con la comunicazione telematica di acquisto intracomunitario di cui al D.M. 26</w:t>
      </w:r>
      <w:r>
        <w:rPr>
          <w:rFonts w:ascii="PT Sans" w:hAnsi="PT Sans" w:cs="Arial"/>
          <w:szCs w:val="22"/>
        </w:rPr>
        <w:t xml:space="preserve"> marzo </w:t>
      </w:r>
      <w:r w:rsidRPr="00D805E5">
        <w:rPr>
          <w:rFonts w:ascii="PT Sans" w:hAnsi="PT Sans" w:cs="Arial"/>
          <w:szCs w:val="22"/>
        </w:rPr>
        <w:t xml:space="preserve">2018, invece, il recente provvedimento </w:t>
      </w:r>
      <w:r>
        <w:rPr>
          <w:rFonts w:ascii="PT Sans" w:hAnsi="PT Sans" w:cs="Arial"/>
          <w:szCs w:val="22"/>
        </w:rPr>
        <w:t xml:space="preserve">n. </w:t>
      </w:r>
      <w:r w:rsidRPr="00D805E5">
        <w:rPr>
          <w:rFonts w:ascii="PT Sans" w:hAnsi="PT Sans" w:cs="Arial"/>
          <w:szCs w:val="22"/>
        </w:rPr>
        <w:t xml:space="preserve">2018/84332 prevede che le stesse possano essere presentate presso gli </w:t>
      </w:r>
      <w:r>
        <w:rPr>
          <w:rFonts w:ascii="PT Sans" w:hAnsi="PT Sans" w:cs="Arial"/>
          <w:szCs w:val="22"/>
        </w:rPr>
        <w:t>u</w:t>
      </w:r>
      <w:r w:rsidRPr="00D805E5">
        <w:rPr>
          <w:rFonts w:ascii="PT Sans" w:hAnsi="PT Sans" w:cs="Arial"/>
          <w:szCs w:val="22"/>
        </w:rPr>
        <w:t xml:space="preserve">ffici di qualunque Direzione Provinciale dell’Agenzia delle entrate. </w:t>
      </w:r>
    </w:p>
    <w:p w:rsidR="00AB42BA" w:rsidRPr="00D805E5" w:rsidRDefault="00AB42BA" w:rsidP="00AB42BA">
      <w:pPr>
        <w:spacing w:before="120" w:line="320" w:lineRule="exact"/>
        <w:jc w:val="both"/>
        <w:rPr>
          <w:rFonts w:ascii="PT Sans" w:hAnsi="PT Sans" w:cs="Arial"/>
          <w:szCs w:val="22"/>
        </w:rPr>
      </w:pPr>
    </w:p>
    <w:p w:rsidR="00AB42BA" w:rsidRPr="00D805E5" w:rsidRDefault="00AB42BA" w:rsidP="00AB42BA">
      <w:pPr>
        <w:spacing w:line="340" w:lineRule="exact"/>
        <w:jc w:val="both"/>
        <w:rPr>
          <w:rFonts w:ascii="PT Sans" w:hAnsi="PT Sans" w:cs="Arial"/>
          <w:b/>
          <w:color w:val="006EB7"/>
          <w:szCs w:val="22"/>
        </w:rPr>
      </w:pPr>
      <w:r w:rsidRPr="00D805E5">
        <w:rPr>
          <w:rFonts w:ascii="PT Sans" w:hAnsi="PT Sans" w:cs="Arial"/>
          <w:b/>
          <w:color w:val="006EB7"/>
          <w:szCs w:val="22"/>
        </w:rPr>
        <w:t>D.M. 26</w:t>
      </w:r>
      <w:r>
        <w:rPr>
          <w:rFonts w:ascii="PT Sans" w:hAnsi="PT Sans" w:cs="Arial"/>
          <w:b/>
          <w:color w:val="006EB7"/>
          <w:szCs w:val="22"/>
        </w:rPr>
        <w:t xml:space="preserve"> marzo </w:t>
      </w:r>
      <w:r w:rsidRPr="00D805E5">
        <w:rPr>
          <w:rFonts w:ascii="PT Sans" w:hAnsi="PT Sans" w:cs="Arial"/>
          <w:b/>
          <w:color w:val="006EB7"/>
          <w:szCs w:val="22"/>
        </w:rPr>
        <w:t>2018</w:t>
      </w:r>
    </w:p>
    <w:p w:rsidR="00AB42BA" w:rsidRPr="00D805E5" w:rsidRDefault="00AB42BA" w:rsidP="00AB42BA">
      <w:pPr>
        <w:spacing w:line="340" w:lineRule="exact"/>
        <w:jc w:val="both"/>
        <w:rPr>
          <w:rFonts w:ascii="PT Sans" w:hAnsi="PT Sans" w:cs="Arial"/>
          <w:szCs w:val="22"/>
        </w:rPr>
      </w:pPr>
      <w:r w:rsidRPr="00D805E5">
        <w:rPr>
          <w:rFonts w:ascii="PT Sans" w:hAnsi="PT Sans" w:cs="Arial"/>
          <w:szCs w:val="22"/>
        </w:rPr>
        <w:t>Il decreto in commento abroga i precedenti decreti del 30</w:t>
      </w:r>
      <w:r>
        <w:rPr>
          <w:rFonts w:ascii="PT Sans" w:hAnsi="PT Sans" w:cs="Arial"/>
          <w:szCs w:val="22"/>
        </w:rPr>
        <w:t xml:space="preserve"> ottobre </w:t>
      </w:r>
      <w:r w:rsidRPr="00D805E5">
        <w:rPr>
          <w:rFonts w:ascii="PT Sans" w:hAnsi="PT Sans" w:cs="Arial"/>
          <w:szCs w:val="22"/>
        </w:rPr>
        <w:t>2007 e del 29</w:t>
      </w:r>
      <w:r>
        <w:rPr>
          <w:rFonts w:ascii="PT Sans" w:hAnsi="PT Sans" w:cs="Arial"/>
          <w:szCs w:val="22"/>
        </w:rPr>
        <w:t xml:space="preserve"> marzo </w:t>
      </w:r>
      <w:r w:rsidRPr="00D805E5">
        <w:rPr>
          <w:rFonts w:ascii="PT Sans" w:hAnsi="PT Sans" w:cs="Arial"/>
          <w:szCs w:val="22"/>
        </w:rPr>
        <w:t xml:space="preserve">2011 nonché ogni altra disposizione in contrasto con le norme dell’attuale decreto. </w:t>
      </w:r>
    </w:p>
    <w:p w:rsidR="00AB42BA" w:rsidRPr="00D805E5" w:rsidRDefault="00AB42BA" w:rsidP="00AB42BA">
      <w:pPr>
        <w:spacing w:line="340" w:lineRule="exact"/>
        <w:jc w:val="both"/>
        <w:rPr>
          <w:rFonts w:ascii="PT Sans" w:hAnsi="PT Sans" w:cs="Arial"/>
          <w:szCs w:val="22"/>
        </w:rPr>
      </w:pPr>
      <w:r w:rsidRPr="00D805E5">
        <w:rPr>
          <w:rFonts w:ascii="PT Sans" w:hAnsi="PT Sans" w:cs="Arial"/>
          <w:szCs w:val="22"/>
        </w:rPr>
        <w:t>L’art</w:t>
      </w:r>
      <w:r>
        <w:rPr>
          <w:rFonts w:ascii="PT Sans" w:hAnsi="PT Sans" w:cs="Arial"/>
          <w:szCs w:val="22"/>
        </w:rPr>
        <w:t xml:space="preserve">icolo </w:t>
      </w:r>
      <w:r w:rsidRPr="00D805E5">
        <w:rPr>
          <w:rFonts w:ascii="PT Sans" w:hAnsi="PT Sans" w:cs="Arial"/>
          <w:szCs w:val="22"/>
        </w:rPr>
        <w:t xml:space="preserve">1 del recente D.M. detta procedure differenziate per l’acquisto di autoveicoli, motoveicoli e rimorchi provenienti da Stati dell'Unione </w:t>
      </w:r>
      <w:r w:rsidRPr="00D805E5">
        <w:rPr>
          <w:rFonts w:ascii="PT Sans" w:hAnsi="PT Sans" w:cs="Arial"/>
          <w:caps/>
          <w:szCs w:val="22"/>
        </w:rPr>
        <w:t>e</w:t>
      </w:r>
      <w:r w:rsidRPr="00D805E5">
        <w:rPr>
          <w:rFonts w:ascii="PT Sans" w:hAnsi="PT Sans" w:cs="Arial"/>
          <w:szCs w:val="22"/>
        </w:rPr>
        <w:t>uropea (ma anche nel caso di cessione a soggetti esteri degli autoveicoli, motoveicoli e rimorchi, non immatricolati in Italia), in ragione delle diverse caratteristiche del soggetto acquirente:</w:t>
      </w:r>
    </w:p>
    <w:p w:rsidR="00AB42BA" w:rsidRPr="00D805E5" w:rsidRDefault="00AB42BA" w:rsidP="00BB6277">
      <w:pPr>
        <w:numPr>
          <w:ilvl w:val="0"/>
          <w:numId w:val="10"/>
        </w:numPr>
        <w:spacing w:line="340" w:lineRule="exact"/>
        <w:jc w:val="both"/>
        <w:rPr>
          <w:rFonts w:ascii="PT Sans" w:hAnsi="PT Sans" w:cs="Arial"/>
          <w:szCs w:val="22"/>
        </w:rPr>
      </w:pPr>
      <w:r w:rsidRPr="00D805E5">
        <w:rPr>
          <w:rFonts w:ascii="PT Sans" w:hAnsi="PT Sans" w:cs="Arial"/>
          <w:szCs w:val="22"/>
        </w:rPr>
        <w:t>i soggetti operanti nell'esercizio di imprese, arti e professioni che ai sensi dell'art</w:t>
      </w:r>
      <w:r>
        <w:rPr>
          <w:rFonts w:ascii="PT Sans" w:hAnsi="PT Sans" w:cs="Arial"/>
          <w:szCs w:val="22"/>
        </w:rPr>
        <w:t xml:space="preserve">icolo </w:t>
      </w:r>
      <w:r w:rsidRPr="00D805E5">
        <w:rPr>
          <w:rFonts w:ascii="PT Sans" w:hAnsi="PT Sans" w:cs="Arial"/>
          <w:szCs w:val="22"/>
        </w:rPr>
        <w:t>38</w:t>
      </w:r>
      <w:r>
        <w:rPr>
          <w:rFonts w:ascii="PT Sans" w:hAnsi="PT Sans" w:cs="Arial"/>
          <w:szCs w:val="22"/>
        </w:rPr>
        <w:t>,</w:t>
      </w:r>
      <w:r w:rsidRPr="00D805E5">
        <w:rPr>
          <w:rFonts w:ascii="PT Sans" w:hAnsi="PT Sans" w:cs="Arial"/>
          <w:szCs w:val="22"/>
        </w:rPr>
        <w:t xml:space="preserve"> D.L. 331/</w:t>
      </w:r>
      <w:r>
        <w:rPr>
          <w:rFonts w:ascii="PT Sans" w:hAnsi="PT Sans" w:cs="Arial"/>
          <w:szCs w:val="22"/>
        </w:rPr>
        <w:t>19</w:t>
      </w:r>
      <w:r w:rsidRPr="00D805E5">
        <w:rPr>
          <w:rFonts w:ascii="PT Sans" w:hAnsi="PT Sans" w:cs="Arial"/>
          <w:szCs w:val="22"/>
        </w:rPr>
        <w:t>93 effettuano acquisti di autoveicoli, di motoveicoli e di rimorchi provenienti da Stati dell'Unione europea o aderenti allo spazio economico europeo (SEE) attraverso canali di importazione non ufficiali (il cosiddetto “mercato parallelo”), comunicano al Dipartimento per i trasporti, la navigazione, gli affari generali e del personale i dati riepilogativi dell'operazione. L’assolvimento dell’imposta connessa ai predetti acquisti intracomunitari avviene mediante versamento dell'imposta relativa alla prima cessione interna utilizzando il modello F24 - Elementi identificativi;</w:t>
      </w:r>
    </w:p>
    <w:p w:rsidR="00AB42BA" w:rsidRPr="00D805E5" w:rsidRDefault="00AB42BA" w:rsidP="00BB6277">
      <w:pPr>
        <w:numPr>
          <w:ilvl w:val="0"/>
          <w:numId w:val="10"/>
        </w:numPr>
        <w:spacing w:line="340" w:lineRule="exact"/>
        <w:jc w:val="both"/>
        <w:rPr>
          <w:rFonts w:ascii="PT Sans" w:hAnsi="PT Sans" w:cs="Arial"/>
          <w:szCs w:val="22"/>
        </w:rPr>
      </w:pPr>
      <w:r w:rsidRPr="00D805E5">
        <w:rPr>
          <w:rFonts w:ascii="PT Sans" w:hAnsi="PT Sans" w:cs="Arial"/>
          <w:szCs w:val="22"/>
        </w:rPr>
        <w:lastRenderedPageBreak/>
        <w:t xml:space="preserve">i soggetti non operanti nell'esercizio di imprese, arti e professioni comunicano al Dipartimento per i trasporti i dati riepilogativi degli acquisti a qualsiasi titolo effettuati di autoveicoli, di motoveicoli e di rimorchi, nuovi o usati, in altri Paesi dell'Unione </w:t>
      </w:r>
      <w:r>
        <w:rPr>
          <w:rFonts w:ascii="PT Sans" w:hAnsi="PT Sans" w:cs="Arial"/>
          <w:szCs w:val="22"/>
        </w:rPr>
        <w:t>E</w:t>
      </w:r>
      <w:r w:rsidRPr="00D805E5">
        <w:rPr>
          <w:rFonts w:ascii="PT Sans" w:hAnsi="PT Sans" w:cs="Arial"/>
          <w:szCs w:val="22"/>
        </w:rPr>
        <w:t>uropea. Per l’acquisto di veicoli nuovi ai sensi dell'art</w:t>
      </w:r>
      <w:r>
        <w:rPr>
          <w:rFonts w:ascii="PT Sans" w:hAnsi="PT Sans" w:cs="Arial"/>
          <w:szCs w:val="22"/>
        </w:rPr>
        <w:t>icolo</w:t>
      </w:r>
      <w:r w:rsidRPr="00D805E5">
        <w:rPr>
          <w:rFonts w:ascii="PT Sans" w:hAnsi="PT Sans" w:cs="Arial"/>
          <w:szCs w:val="22"/>
        </w:rPr>
        <w:t xml:space="preserve"> 38</w:t>
      </w:r>
      <w:r>
        <w:rPr>
          <w:rFonts w:ascii="PT Sans" w:hAnsi="PT Sans" w:cs="Arial"/>
          <w:szCs w:val="22"/>
        </w:rPr>
        <w:t>,</w:t>
      </w:r>
      <w:r w:rsidRPr="00D805E5">
        <w:rPr>
          <w:rFonts w:ascii="PT Sans" w:hAnsi="PT Sans" w:cs="Arial"/>
          <w:szCs w:val="22"/>
        </w:rPr>
        <w:t xml:space="preserve"> comma 3</w:t>
      </w:r>
      <w:r>
        <w:rPr>
          <w:rFonts w:ascii="PT Sans" w:hAnsi="PT Sans" w:cs="Arial"/>
          <w:szCs w:val="22"/>
        </w:rPr>
        <w:t>,</w:t>
      </w:r>
      <w:r w:rsidRPr="00D805E5">
        <w:rPr>
          <w:rFonts w:ascii="PT Sans" w:hAnsi="PT Sans" w:cs="Arial"/>
          <w:szCs w:val="22"/>
        </w:rPr>
        <w:t xml:space="preserve"> lettera e)</w:t>
      </w:r>
      <w:r>
        <w:rPr>
          <w:rFonts w:ascii="PT Sans" w:hAnsi="PT Sans" w:cs="Arial"/>
          <w:szCs w:val="22"/>
        </w:rPr>
        <w:t>,</w:t>
      </w:r>
      <w:r w:rsidRPr="00D805E5">
        <w:rPr>
          <w:rFonts w:ascii="PT Sans" w:hAnsi="PT Sans" w:cs="Arial"/>
          <w:szCs w:val="22"/>
        </w:rPr>
        <w:t xml:space="preserve"> D.L. 331/</w:t>
      </w:r>
      <w:r>
        <w:rPr>
          <w:rFonts w:ascii="PT Sans" w:hAnsi="PT Sans" w:cs="Arial"/>
          <w:szCs w:val="22"/>
        </w:rPr>
        <w:t>19</w:t>
      </w:r>
      <w:r w:rsidRPr="00D805E5">
        <w:rPr>
          <w:rFonts w:ascii="PT Sans" w:hAnsi="PT Sans" w:cs="Arial"/>
          <w:szCs w:val="22"/>
        </w:rPr>
        <w:t>93 e in applicazione del successivo art</w:t>
      </w:r>
      <w:r>
        <w:rPr>
          <w:rFonts w:ascii="PT Sans" w:hAnsi="PT Sans" w:cs="Arial"/>
          <w:szCs w:val="22"/>
        </w:rPr>
        <w:t>icolo</w:t>
      </w:r>
      <w:r w:rsidRPr="00D805E5">
        <w:rPr>
          <w:rFonts w:ascii="PT Sans" w:hAnsi="PT Sans" w:cs="Arial"/>
          <w:szCs w:val="22"/>
        </w:rPr>
        <w:t xml:space="preserve"> 53, tali soggetti assolvono anch’essi all'obbligo del versamento dell'Iva mediante l’utilizzo del modello di versamento F24 - Elementi identificativi.</w:t>
      </w:r>
    </w:p>
    <w:p w:rsidR="00AB42BA" w:rsidRPr="00D805E5" w:rsidRDefault="00AB42BA" w:rsidP="00AB42BA">
      <w:pPr>
        <w:spacing w:line="280" w:lineRule="exact"/>
        <w:jc w:val="both"/>
        <w:rPr>
          <w:rFonts w:ascii="PT Sans" w:hAnsi="PT Sans" w:cs="Arial"/>
          <w:szCs w:val="22"/>
        </w:rPr>
      </w:pPr>
    </w:p>
    <w:p w:rsidR="00AB42BA" w:rsidRPr="00D805E5" w:rsidRDefault="00AB42BA" w:rsidP="00AB42BA">
      <w:pPr>
        <w:tabs>
          <w:tab w:val="left" w:pos="360"/>
        </w:tabs>
        <w:spacing w:after="60" w:line="320" w:lineRule="exact"/>
        <w:jc w:val="both"/>
        <w:rPr>
          <w:rFonts w:ascii="PT Sans" w:hAnsi="PT Sans" w:cs="Arial"/>
          <w:b/>
          <w:color w:val="006EB7"/>
          <w:szCs w:val="22"/>
        </w:rPr>
      </w:pPr>
      <w:r w:rsidRPr="00D805E5">
        <w:rPr>
          <w:rFonts w:ascii="PT Sans" w:hAnsi="PT Sans" w:cs="Arial"/>
          <w:b/>
          <w:color w:val="006EB7"/>
          <w:szCs w:val="22"/>
        </w:rPr>
        <w:t>Sintesi dei dati da comunicare al Dipartimento per i trasporti</w:t>
      </w:r>
    </w:p>
    <w:tbl>
      <w:tblPr>
        <w:tblW w:w="0" w:type="auto"/>
        <w:tblInd w:w="108" w:type="dxa"/>
        <w:tblBorders>
          <w:top w:val="single" w:sz="4" w:space="0" w:color="006EB7"/>
          <w:left w:val="single" w:sz="4" w:space="0" w:color="006EB7"/>
          <w:bottom w:val="single" w:sz="4" w:space="0" w:color="006EB7"/>
          <w:right w:val="single" w:sz="4" w:space="0" w:color="006EB7"/>
          <w:insideH w:val="single" w:sz="4" w:space="0" w:color="006EB7"/>
          <w:insideV w:val="single" w:sz="4" w:space="0" w:color="006EB7"/>
        </w:tblBorders>
        <w:tblLook w:val="04A0" w:firstRow="1" w:lastRow="0" w:firstColumn="1" w:lastColumn="0" w:noHBand="0" w:noVBand="1"/>
      </w:tblPr>
      <w:tblGrid>
        <w:gridCol w:w="1985"/>
        <w:gridCol w:w="7761"/>
      </w:tblGrid>
      <w:tr w:rsidR="00AB42BA" w:rsidRPr="00D805E5" w:rsidTr="006D664E">
        <w:tc>
          <w:tcPr>
            <w:tcW w:w="1985" w:type="dxa"/>
            <w:shd w:val="clear" w:color="auto" w:fill="B2D3E9"/>
          </w:tcPr>
          <w:p w:rsidR="00AB42BA" w:rsidRPr="00D805E5" w:rsidRDefault="00AB42BA" w:rsidP="006D664E">
            <w:pPr>
              <w:tabs>
                <w:tab w:val="left" w:pos="360"/>
              </w:tabs>
              <w:spacing w:line="280" w:lineRule="exact"/>
              <w:jc w:val="both"/>
              <w:rPr>
                <w:rFonts w:ascii="PT Sans" w:hAnsi="PT Sans" w:cs="Arial"/>
                <w:b/>
                <w:sz w:val="20"/>
                <w:szCs w:val="22"/>
              </w:rPr>
            </w:pPr>
            <w:r w:rsidRPr="00D805E5">
              <w:rPr>
                <w:rFonts w:ascii="PT Sans" w:hAnsi="PT Sans" w:cs="Arial"/>
                <w:b/>
                <w:sz w:val="20"/>
                <w:szCs w:val="22"/>
              </w:rPr>
              <w:t>Soggetti passivi</w:t>
            </w:r>
          </w:p>
        </w:tc>
        <w:tc>
          <w:tcPr>
            <w:tcW w:w="7761" w:type="dxa"/>
            <w:shd w:val="clear" w:color="auto" w:fill="auto"/>
          </w:tcPr>
          <w:p w:rsidR="00AB42BA" w:rsidRPr="00D805E5" w:rsidRDefault="00AB42BA" w:rsidP="006D664E">
            <w:pPr>
              <w:tabs>
                <w:tab w:val="left" w:pos="360"/>
              </w:tabs>
              <w:spacing w:line="280" w:lineRule="exact"/>
              <w:jc w:val="both"/>
              <w:rPr>
                <w:rFonts w:ascii="PT Sans" w:hAnsi="PT Sans" w:cs="Arial"/>
                <w:sz w:val="20"/>
                <w:szCs w:val="22"/>
              </w:rPr>
            </w:pPr>
            <w:r w:rsidRPr="00D805E5">
              <w:rPr>
                <w:rFonts w:ascii="PT Sans" w:hAnsi="PT Sans" w:cs="Arial"/>
                <w:sz w:val="20"/>
                <w:szCs w:val="22"/>
              </w:rPr>
              <w:t>a) il codice fiscale e la denominazione del cessionario residente in Italia tenuto alla comunicazione;</w:t>
            </w:r>
          </w:p>
          <w:p w:rsidR="00AB42BA" w:rsidRPr="00D805E5" w:rsidRDefault="00AB42BA" w:rsidP="006D664E">
            <w:pPr>
              <w:tabs>
                <w:tab w:val="left" w:pos="360"/>
              </w:tabs>
              <w:spacing w:line="280" w:lineRule="exact"/>
              <w:jc w:val="both"/>
              <w:rPr>
                <w:rFonts w:ascii="PT Sans" w:hAnsi="PT Sans" w:cs="Arial"/>
                <w:sz w:val="20"/>
                <w:szCs w:val="22"/>
              </w:rPr>
            </w:pPr>
            <w:r w:rsidRPr="00D805E5">
              <w:rPr>
                <w:rFonts w:ascii="PT Sans" w:hAnsi="PT Sans" w:cs="Arial"/>
                <w:sz w:val="20"/>
                <w:szCs w:val="22"/>
              </w:rPr>
              <w:t>b) il numero di identificazione individuale nonché la denominazione del fornitore, ovvero i dati anagrafici del fornitore desunti dalla copia di un suo documento d'identità qualora quest'ultimo non sia soggetto passivo d'imposta;</w:t>
            </w:r>
          </w:p>
          <w:p w:rsidR="00AB42BA" w:rsidRPr="00D805E5" w:rsidRDefault="00AB42BA" w:rsidP="006D664E">
            <w:pPr>
              <w:tabs>
                <w:tab w:val="left" w:pos="360"/>
              </w:tabs>
              <w:spacing w:line="280" w:lineRule="exact"/>
              <w:jc w:val="both"/>
              <w:rPr>
                <w:rFonts w:ascii="PT Sans" w:hAnsi="PT Sans" w:cs="Arial"/>
                <w:sz w:val="20"/>
                <w:szCs w:val="22"/>
              </w:rPr>
            </w:pPr>
            <w:r w:rsidRPr="00D805E5">
              <w:rPr>
                <w:rFonts w:ascii="PT Sans" w:hAnsi="PT Sans" w:cs="Arial"/>
                <w:sz w:val="20"/>
                <w:szCs w:val="22"/>
              </w:rPr>
              <w:t>c) il numero di telaio dell'autoveicolo, del motoveicolo e del rimorchio oggetto dell'acquisto con l'indicazione se si tratta di veicolo nuovo o usato, nonché l'eventuale data di prima immatricolazione all'estero;</w:t>
            </w:r>
          </w:p>
          <w:p w:rsidR="00AB42BA" w:rsidRPr="00D805E5" w:rsidRDefault="00AB42BA" w:rsidP="006D664E">
            <w:pPr>
              <w:tabs>
                <w:tab w:val="left" w:pos="360"/>
              </w:tabs>
              <w:spacing w:line="280" w:lineRule="exact"/>
              <w:jc w:val="both"/>
              <w:rPr>
                <w:rFonts w:ascii="PT Sans" w:hAnsi="PT Sans" w:cs="Arial"/>
                <w:sz w:val="20"/>
                <w:szCs w:val="22"/>
              </w:rPr>
            </w:pPr>
            <w:r w:rsidRPr="00D805E5">
              <w:rPr>
                <w:rFonts w:ascii="PT Sans" w:hAnsi="PT Sans" w:cs="Arial"/>
                <w:sz w:val="20"/>
                <w:szCs w:val="22"/>
              </w:rPr>
              <w:t>d) la data e il</w:t>
            </w:r>
            <w:r>
              <w:rPr>
                <w:rFonts w:ascii="PT Sans" w:hAnsi="PT Sans" w:cs="Arial"/>
                <w:sz w:val="20"/>
                <w:szCs w:val="22"/>
              </w:rPr>
              <w:t xml:space="preserve"> prezzo di acquisto del veicolo</w:t>
            </w:r>
          </w:p>
        </w:tc>
      </w:tr>
      <w:tr w:rsidR="00AB42BA" w:rsidRPr="00D805E5" w:rsidTr="006D664E">
        <w:tc>
          <w:tcPr>
            <w:tcW w:w="1985" w:type="dxa"/>
            <w:shd w:val="clear" w:color="auto" w:fill="B2D3E9"/>
          </w:tcPr>
          <w:p w:rsidR="00AB42BA" w:rsidRPr="00D805E5" w:rsidRDefault="00AB42BA" w:rsidP="006D664E">
            <w:pPr>
              <w:tabs>
                <w:tab w:val="left" w:pos="360"/>
              </w:tabs>
              <w:spacing w:line="280" w:lineRule="exact"/>
              <w:jc w:val="both"/>
              <w:rPr>
                <w:rFonts w:ascii="PT Sans" w:hAnsi="PT Sans" w:cs="Arial"/>
                <w:b/>
                <w:sz w:val="20"/>
                <w:szCs w:val="22"/>
              </w:rPr>
            </w:pPr>
            <w:r w:rsidRPr="00D805E5">
              <w:rPr>
                <w:rFonts w:ascii="PT Sans" w:hAnsi="PT Sans" w:cs="Arial"/>
                <w:b/>
                <w:sz w:val="20"/>
                <w:szCs w:val="22"/>
              </w:rPr>
              <w:t>Privati</w:t>
            </w:r>
          </w:p>
        </w:tc>
        <w:tc>
          <w:tcPr>
            <w:tcW w:w="7761" w:type="dxa"/>
            <w:shd w:val="clear" w:color="auto" w:fill="auto"/>
          </w:tcPr>
          <w:p w:rsidR="00AB42BA" w:rsidRPr="00D805E5" w:rsidRDefault="00AB42BA" w:rsidP="006D664E">
            <w:pPr>
              <w:tabs>
                <w:tab w:val="left" w:pos="360"/>
              </w:tabs>
              <w:spacing w:line="280" w:lineRule="exact"/>
              <w:jc w:val="both"/>
              <w:rPr>
                <w:rFonts w:ascii="PT Sans" w:hAnsi="PT Sans" w:cs="Arial"/>
                <w:sz w:val="20"/>
                <w:szCs w:val="22"/>
              </w:rPr>
            </w:pPr>
            <w:r w:rsidRPr="00D805E5">
              <w:rPr>
                <w:rFonts w:ascii="PT Sans" w:hAnsi="PT Sans" w:cs="Arial"/>
                <w:sz w:val="20"/>
                <w:szCs w:val="22"/>
              </w:rPr>
              <w:t>a) il codice fiscale, il nome e il cognome del soggetto non operante nell'esercizio di imprese, arti e professioni intestatario del documento d'acquisto, tenuto alla comunicazione, a nome del quale sarà immatricolato il veicolo;</w:t>
            </w:r>
          </w:p>
          <w:p w:rsidR="00AB42BA" w:rsidRPr="00D805E5" w:rsidRDefault="00AB42BA" w:rsidP="006D664E">
            <w:pPr>
              <w:tabs>
                <w:tab w:val="left" w:pos="360"/>
              </w:tabs>
              <w:spacing w:line="280" w:lineRule="exact"/>
              <w:jc w:val="both"/>
              <w:rPr>
                <w:rFonts w:ascii="PT Sans" w:hAnsi="PT Sans" w:cs="Arial"/>
                <w:sz w:val="20"/>
                <w:szCs w:val="22"/>
              </w:rPr>
            </w:pPr>
            <w:r w:rsidRPr="00D805E5">
              <w:rPr>
                <w:rFonts w:ascii="PT Sans" w:hAnsi="PT Sans" w:cs="Arial"/>
                <w:sz w:val="20"/>
                <w:szCs w:val="22"/>
              </w:rPr>
              <w:t>b) il numero di identificazione individuale nonché la denominazione del soggetto passivo d'imposta intracomunitario, ovvero i dati anagrafici del fornitore desunti dalla copia di un suo documento d'identità qualora quest'ultimo non sia soggetto passivo d'imposta;</w:t>
            </w:r>
          </w:p>
          <w:p w:rsidR="00AB42BA" w:rsidRPr="00D805E5" w:rsidRDefault="00AB42BA" w:rsidP="006D664E">
            <w:pPr>
              <w:tabs>
                <w:tab w:val="left" w:pos="360"/>
              </w:tabs>
              <w:spacing w:line="280" w:lineRule="exact"/>
              <w:jc w:val="both"/>
              <w:rPr>
                <w:rFonts w:ascii="PT Sans" w:hAnsi="PT Sans" w:cs="Arial"/>
                <w:sz w:val="20"/>
                <w:szCs w:val="22"/>
              </w:rPr>
            </w:pPr>
            <w:r w:rsidRPr="00D805E5">
              <w:rPr>
                <w:rFonts w:ascii="PT Sans" w:hAnsi="PT Sans" w:cs="Arial"/>
                <w:sz w:val="20"/>
                <w:szCs w:val="22"/>
              </w:rPr>
              <w:t xml:space="preserve">c) il numero di telaio dell'autoveicolo, del motoveicolo e del rimorchio oggetto dell'acquisto, con l'indicazione se si tratta di veicolo nuovo o usato, nonché l'eventuale data di prima immatricolazione all'estero; </w:t>
            </w:r>
          </w:p>
          <w:p w:rsidR="00AB42BA" w:rsidRPr="00D805E5" w:rsidRDefault="00AB42BA" w:rsidP="006D664E">
            <w:pPr>
              <w:tabs>
                <w:tab w:val="left" w:pos="360"/>
              </w:tabs>
              <w:spacing w:line="280" w:lineRule="exact"/>
              <w:jc w:val="both"/>
              <w:rPr>
                <w:rFonts w:ascii="PT Sans" w:hAnsi="PT Sans" w:cs="Arial"/>
                <w:sz w:val="20"/>
                <w:szCs w:val="22"/>
              </w:rPr>
            </w:pPr>
            <w:r w:rsidRPr="00D805E5">
              <w:rPr>
                <w:rFonts w:ascii="PT Sans" w:hAnsi="PT Sans" w:cs="Arial"/>
                <w:sz w:val="20"/>
                <w:szCs w:val="22"/>
              </w:rPr>
              <w:t xml:space="preserve">d) la data e il prezzo di acquisto del veicolo; </w:t>
            </w:r>
          </w:p>
          <w:p w:rsidR="00AB42BA" w:rsidRPr="00D805E5" w:rsidRDefault="00AB42BA" w:rsidP="006D664E">
            <w:pPr>
              <w:tabs>
                <w:tab w:val="left" w:pos="360"/>
              </w:tabs>
              <w:spacing w:line="280" w:lineRule="exact"/>
              <w:jc w:val="both"/>
              <w:rPr>
                <w:rFonts w:ascii="PT Sans" w:hAnsi="PT Sans" w:cs="Arial"/>
                <w:sz w:val="20"/>
                <w:szCs w:val="22"/>
              </w:rPr>
            </w:pPr>
            <w:r w:rsidRPr="00D805E5">
              <w:rPr>
                <w:rFonts w:ascii="PT Sans" w:hAnsi="PT Sans" w:cs="Arial"/>
                <w:sz w:val="20"/>
                <w:szCs w:val="22"/>
              </w:rPr>
              <w:t>e) il codice fiscale dell'intermediario delegato a presentare la comunicazione, a titolo gratuito e in via occasionale, nei casi in cui questa non sia effettuata perso</w:t>
            </w:r>
            <w:r>
              <w:rPr>
                <w:rFonts w:ascii="PT Sans" w:hAnsi="PT Sans" w:cs="Arial"/>
                <w:sz w:val="20"/>
                <w:szCs w:val="22"/>
              </w:rPr>
              <w:t>nalmente dal privato acquirente</w:t>
            </w:r>
          </w:p>
        </w:tc>
      </w:tr>
      <w:tr w:rsidR="00AB42BA" w:rsidRPr="00D805E5" w:rsidTr="006D664E">
        <w:tc>
          <w:tcPr>
            <w:tcW w:w="1985" w:type="dxa"/>
            <w:shd w:val="clear" w:color="auto" w:fill="B2D3E9"/>
          </w:tcPr>
          <w:p w:rsidR="00AB42BA" w:rsidRPr="00D805E5" w:rsidRDefault="00AB42BA" w:rsidP="006D664E">
            <w:pPr>
              <w:tabs>
                <w:tab w:val="left" w:pos="360"/>
              </w:tabs>
              <w:spacing w:line="280" w:lineRule="exact"/>
              <w:rPr>
                <w:rFonts w:ascii="PT Sans" w:hAnsi="PT Sans" w:cs="Arial"/>
                <w:b/>
                <w:sz w:val="20"/>
                <w:szCs w:val="22"/>
              </w:rPr>
            </w:pPr>
            <w:r w:rsidRPr="00D805E5">
              <w:rPr>
                <w:rFonts w:ascii="PT Sans" w:hAnsi="PT Sans" w:cs="Arial"/>
                <w:b/>
                <w:sz w:val="20"/>
                <w:szCs w:val="22"/>
              </w:rPr>
              <w:t>Soggetti passivi e privati (cessioni estere di veicoli non immatricolati)</w:t>
            </w:r>
          </w:p>
        </w:tc>
        <w:tc>
          <w:tcPr>
            <w:tcW w:w="7761" w:type="dxa"/>
            <w:shd w:val="clear" w:color="auto" w:fill="auto"/>
          </w:tcPr>
          <w:p w:rsidR="00AB42BA" w:rsidRPr="00D805E5" w:rsidRDefault="00AB42BA" w:rsidP="006D664E">
            <w:pPr>
              <w:tabs>
                <w:tab w:val="left" w:pos="360"/>
              </w:tabs>
              <w:spacing w:line="280" w:lineRule="exact"/>
              <w:jc w:val="both"/>
              <w:rPr>
                <w:rFonts w:ascii="PT Sans" w:hAnsi="PT Sans" w:cs="Arial"/>
                <w:sz w:val="20"/>
                <w:szCs w:val="22"/>
              </w:rPr>
            </w:pPr>
            <w:r w:rsidRPr="00D805E5">
              <w:rPr>
                <w:rFonts w:ascii="PT Sans" w:hAnsi="PT Sans" w:cs="Arial"/>
                <w:sz w:val="20"/>
                <w:szCs w:val="22"/>
              </w:rPr>
              <w:t>a) il codice fiscale e la denominazione del soggetto residente tenuto alla comunicazione;</w:t>
            </w:r>
          </w:p>
          <w:p w:rsidR="00AB42BA" w:rsidRPr="00D805E5" w:rsidRDefault="00AB42BA" w:rsidP="006D664E">
            <w:pPr>
              <w:tabs>
                <w:tab w:val="left" w:pos="360"/>
              </w:tabs>
              <w:spacing w:line="280" w:lineRule="exact"/>
              <w:jc w:val="both"/>
              <w:rPr>
                <w:rFonts w:ascii="PT Sans" w:hAnsi="PT Sans" w:cs="Arial"/>
                <w:sz w:val="20"/>
                <w:szCs w:val="22"/>
              </w:rPr>
            </w:pPr>
            <w:r w:rsidRPr="00D805E5">
              <w:rPr>
                <w:rFonts w:ascii="PT Sans" w:hAnsi="PT Sans" w:cs="Arial"/>
                <w:sz w:val="20"/>
                <w:szCs w:val="22"/>
              </w:rPr>
              <w:t>b) il numero di telaio e il codice di immatricolazione ovvero il numero di omologazione del veicolo con l'indicazione, a seconda dei casi, se si tratta di veicolo nuovo o usato;</w:t>
            </w:r>
          </w:p>
          <w:p w:rsidR="00AB42BA" w:rsidRPr="00D805E5" w:rsidRDefault="00AB42BA" w:rsidP="006D664E">
            <w:pPr>
              <w:tabs>
                <w:tab w:val="left" w:pos="360"/>
              </w:tabs>
              <w:spacing w:line="280" w:lineRule="exact"/>
              <w:jc w:val="both"/>
              <w:rPr>
                <w:rFonts w:ascii="PT Sans" w:hAnsi="PT Sans" w:cs="Arial"/>
                <w:sz w:val="20"/>
                <w:szCs w:val="22"/>
              </w:rPr>
            </w:pPr>
            <w:r w:rsidRPr="00D805E5">
              <w:rPr>
                <w:rFonts w:ascii="PT Sans" w:hAnsi="PT Sans" w:cs="Arial"/>
                <w:sz w:val="20"/>
                <w:szCs w:val="22"/>
              </w:rPr>
              <w:t xml:space="preserve">c) la data e il prezzo dell'acquisto, nonché l'eventuale data di prima immatricolazione all'estero; </w:t>
            </w:r>
          </w:p>
          <w:p w:rsidR="00AB42BA" w:rsidRPr="00D805E5" w:rsidRDefault="00AB42BA" w:rsidP="006D664E">
            <w:pPr>
              <w:tabs>
                <w:tab w:val="left" w:pos="360"/>
              </w:tabs>
              <w:spacing w:line="280" w:lineRule="exact"/>
              <w:jc w:val="both"/>
              <w:rPr>
                <w:rFonts w:ascii="PT Sans" w:hAnsi="PT Sans" w:cs="Arial"/>
                <w:sz w:val="20"/>
                <w:szCs w:val="22"/>
              </w:rPr>
            </w:pPr>
            <w:r w:rsidRPr="00D805E5">
              <w:rPr>
                <w:rFonts w:ascii="PT Sans" w:hAnsi="PT Sans" w:cs="Arial"/>
                <w:sz w:val="20"/>
                <w:szCs w:val="22"/>
              </w:rPr>
              <w:t>d) la data della cessione;</w:t>
            </w:r>
          </w:p>
          <w:p w:rsidR="00AB42BA" w:rsidRPr="00D805E5" w:rsidRDefault="00AB42BA" w:rsidP="006D664E">
            <w:pPr>
              <w:tabs>
                <w:tab w:val="left" w:pos="360"/>
              </w:tabs>
              <w:spacing w:line="280" w:lineRule="exact"/>
              <w:jc w:val="both"/>
              <w:rPr>
                <w:rFonts w:ascii="PT Sans" w:hAnsi="PT Sans" w:cs="Arial"/>
                <w:sz w:val="20"/>
                <w:szCs w:val="22"/>
              </w:rPr>
            </w:pPr>
            <w:r w:rsidRPr="00D805E5">
              <w:rPr>
                <w:rFonts w:ascii="PT Sans" w:hAnsi="PT Sans" w:cs="Arial"/>
                <w:sz w:val="20"/>
                <w:szCs w:val="22"/>
              </w:rPr>
              <w:t>e) il numero di fattura, per i soli soggetti di cui all'art. 1, comma 1, ed il prezzo di cessione;</w:t>
            </w:r>
          </w:p>
          <w:p w:rsidR="00AB42BA" w:rsidRPr="00D805E5" w:rsidRDefault="00AB42BA" w:rsidP="006D664E">
            <w:pPr>
              <w:tabs>
                <w:tab w:val="left" w:pos="360"/>
              </w:tabs>
              <w:spacing w:line="280" w:lineRule="exact"/>
              <w:jc w:val="both"/>
              <w:rPr>
                <w:rFonts w:ascii="PT Sans" w:hAnsi="PT Sans" w:cs="Arial"/>
                <w:sz w:val="20"/>
                <w:szCs w:val="22"/>
              </w:rPr>
            </w:pPr>
            <w:r w:rsidRPr="00D805E5">
              <w:rPr>
                <w:rFonts w:ascii="PT Sans" w:hAnsi="PT Sans" w:cs="Arial"/>
                <w:sz w:val="20"/>
                <w:szCs w:val="22"/>
              </w:rPr>
              <w:t>f) i dati identificati dell'acquirente straniero</w:t>
            </w:r>
          </w:p>
        </w:tc>
      </w:tr>
    </w:tbl>
    <w:p w:rsidR="00AB42BA" w:rsidRPr="00D805E5" w:rsidRDefault="00AB42BA" w:rsidP="00AB42BA">
      <w:pPr>
        <w:spacing w:before="120" w:line="320" w:lineRule="exact"/>
        <w:jc w:val="both"/>
        <w:rPr>
          <w:rFonts w:ascii="PT Sans" w:hAnsi="PT Sans" w:cs="Arial"/>
          <w:szCs w:val="22"/>
        </w:rPr>
      </w:pPr>
      <w:r w:rsidRPr="00D805E5">
        <w:rPr>
          <w:rFonts w:ascii="PT Sans" w:hAnsi="PT Sans" w:cs="Arial"/>
          <w:szCs w:val="22"/>
        </w:rPr>
        <w:t>Regole particolari sussistono con riferimento ai soggetti passivi che effettuano la costruzione dei autoveicoli, dei motoveicoli e dei rimorchi (</w:t>
      </w:r>
      <w:r>
        <w:rPr>
          <w:rFonts w:ascii="PT Sans" w:hAnsi="PT Sans" w:cs="Arial"/>
          <w:szCs w:val="22"/>
        </w:rPr>
        <w:t>c.d.</w:t>
      </w:r>
      <w:r w:rsidRPr="00D805E5">
        <w:rPr>
          <w:rFonts w:ascii="PT Sans" w:hAnsi="PT Sans" w:cs="Arial"/>
          <w:szCs w:val="22"/>
        </w:rPr>
        <w:t xml:space="preserve"> “case costruttrici”). Esse assolvono alla predetta comunicazione attraverso la trasmissione telematica, al sistema informativo centrale del Dipartimento per i trasporti terrestri, dell'abbinamento dei numeri di telaio con i rispettivi codici di antifalsificazione dei veicoli da immatricolare. Per le case costruttrici costituite all'estero, la trasmissione telematica del predetto abbinamento può essere effettuata esclusivamente per il tramite delle loro società costituite in </w:t>
      </w:r>
      <w:r w:rsidRPr="00D805E5">
        <w:rPr>
          <w:rFonts w:ascii="PT Sans" w:hAnsi="PT Sans" w:cs="Arial"/>
          <w:szCs w:val="22"/>
        </w:rPr>
        <w:lastRenderedPageBreak/>
        <w:t>Italia, regolarmente iscritte al registro delle imprese e partecipate in via maggioritaria, o della loro stabile organizzazione italiana ovvero, in assenza delle predette entità, per il tramite dei loro mandatari unici ed esclusivi accreditati presso il Ministero delle infrastrutture e dei trasporti. A tal fine, debbono intendersi per mandatari unici ed esclusivi, le imprese o società costituite in Italia, regolarmente iscritte nel Registro Imprese, che abbiano stipulato con la casa costruttrice un contratto di mandato in esclusiva per la commercializzazione in Italia dei veicoli dalla stessa fabbricati.</w:t>
      </w:r>
    </w:p>
    <w:p w:rsidR="00AB42BA" w:rsidRPr="00D805E5" w:rsidRDefault="00AB42BA" w:rsidP="00AB42BA">
      <w:pPr>
        <w:spacing w:line="320" w:lineRule="exact"/>
        <w:jc w:val="both"/>
        <w:rPr>
          <w:rFonts w:ascii="PT Sans" w:hAnsi="PT Sans" w:cs="Arial"/>
          <w:szCs w:val="22"/>
        </w:rPr>
      </w:pPr>
      <w:r w:rsidRPr="00D805E5">
        <w:rPr>
          <w:rFonts w:ascii="PT Sans" w:hAnsi="PT Sans" w:cs="Arial"/>
          <w:szCs w:val="22"/>
        </w:rPr>
        <w:t>Dopo aver assolto ai predetti obblighi di comunicazione, agli autoveicoli, ai motoveicoli e ai rimorchi di provenienza comunitaria viene assegnato un codice di immatricolazione o un numero di omologazione dal competente ufficio della motorizzazione civile, previo esame della relativa documentazione tecnica e secondo le modalità stabilite dal Dipartimento per i trasporti. La documentazione relativa all'acquisto del veicolo di provenienza comunitaria effettuato da privati, ed alla eventuale cessione, debbono essere conservati sino al 31 dicembre del settimo anno successivo a quello in cui si è realizzata l'operazione di acquisto o di vendita.</w:t>
      </w:r>
    </w:p>
    <w:p w:rsidR="00AB42BA" w:rsidRDefault="00AB42BA" w:rsidP="00AB42BA">
      <w:pPr>
        <w:pStyle w:val="corpotestoinformativa"/>
        <w:rPr>
          <w:rFonts w:ascii="PT Sans" w:hAnsi="PT Sans"/>
        </w:rPr>
      </w:pPr>
    </w:p>
    <w:p w:rsidR="00AB42BA" w:rsidRPr="00F408D4" w:rsidRDefault="00AB42BA" w:rsidP="00AB42BA">
      <w:pPr>
        <w:pStyle w:val="corpotestoinformativa"/>
        <w:spacing w:before="120" w:line="340" w:lineRule="exact"/>
        <w:jc w:val="center"/>
        <w:rPr>
          <w:rFonts w:ascii="PT Sans" w:hAnsi="PT Sans"/>
        </w:rPr>
      </w:pPr>
      <w:r>
        <w:rPr>
          <w:rFonts w:ascii="PT Sans" w:hAnsi="PT Sans"/>
        </w:rPr>
        <w:t>**********</w:t>
      </w:r>
    </w:p>
    <w:p w:rsidR="00AB42BA" w:rsidRPr="00F408D4" w:rsidRDefault="00AB42BA" w:rsidP="00AB42BA">
      <w:pPr>
        <w:pStyle w:val="corpotestoinformativa"/>
        <w:spacing w:before="120" w:line="340" w:lineRule="exact"/>
        <w:rPr>
          <w:rFonts w:ascii="PT Sans" w:hAnsi="PT Sans"/>
          <w:b/>
        </w:rPr>
      </w:pPr>
    </w:p>
    <w:p w:rsidR="00AB42BA" w:rsidRPr="00F408D4" w:rsidRDefault="00AB42BA" w:rsidP="00AB42BA">
      <w:pPr>
        <w:pStyle w:val="Corpodeltesto2"/>
        <w:spacing w:line="340" w:lineRule="exact"/>
        <w:jc w:val="center"/>
        <w:rPr>
          <w:rFonts w:ascii="PT Sans" w:hAnsi="PT Sans" w:cs="Arial"/>
          <w:b/>
        </w:rPr>
      </w:pPr>
      <w:r w:rsidRPr="00F408D4">
        <w:rPr>
          <w:rFonts w:ascii="PT Sans" w:hAnsi="PT Sans" w:cs="Arial"/>
          <w:b/>
        </w:rPr>
        <w:t xml:space="preserve">SCADE IL PROSSIMO 2 LUGLIO 2018 LA POSSIBILITÀ DI RIDETERMINARE </w:t>
      </w:r>
    </w:p>
    <w:p w:rsidR="00AB42BA" w:rsidRPr="00F408D4" w:rsidRDefault="00AB42BA" w:rsidP="00AB42BA">
      <w:pPr>
        <w:pStyle w:val="Corpodeltesto2"/>
        <w:spacing w:line="340" w:lineRule="exact"/>
        <w:jc w:val="center"/>
        <w:rPr>
          <w:rFonts w:ascii="PT Sans" w:hAnsi="PT Sans" w:cs="Arial"/>
          <w:b/>
        </w:rPr>
      </w:pPr>
      <w:r w:rsidRPr="00F408D4">
        <w:rPr>
          <w:rFonts w:ascii="PT Sans" w:hAnsi="PT Sans" w:cs="Arial"/>
          <w:b/>
        </w:rPr>
        <w:t>IL VALORE DI PARTECIPAZIONI E TERRENI POSSEDUTI AL 1° GENNAIO 2018</w:t>
      </w:r>
    </w:p>
    <w:p w:rsidR="00AB42BA" w:rsidRPr="00F408D4" w:rsidRDefault="00AB42BA" w:rsidP="00AB42BA">
      <w:pPr>
        <w:spacing w:before="120" w:line="340" w:lineRule="exact"/>
        <w:jc w:val="both"/>
        <w:rPr>
          <w:rFonts w:ascii="PT Sans" w:hAnsi="PT Sans"/>
        </w:rPr>
      </w:pPr>
    </w:p>
    <w:p w:rsidR="00AB42BA" w:rsidRPr="00F408D4" w:rsidRDefault="00AB42BA" w:rsidP="00AB42BA">
      <w:pPr>
        <w:spacing w:line="320" w:lineRule="exact"/>
        <w:jc w:val="both"/>
        <w:rPr>
          <w:rFonts w:ascii="PT Sans" w:hAnsi="PT Sans"/>
          <w:spacing w:val="-2"/>
        </w:rPr>
      </w:pPr>
      <w:r w:rsidRPr="00F408D4">
        <w:rPr>
          <w:rFonts w:ascii="PT Sans" w:hAnsi="PT Sans"/>
          <w:spacing w:val="-2"/>
        </w:rPr>
        <w:t>La Legge di Bilancio per il 2018 ha prorogato per la quindicesima volta la possibilità di rideterminare il costo di acquisto di partecipazioni in società non quotate e terreni agricoli ed edificabili da parte di:</w:t>
      </w:r>
    </w:p>
    <w:p w:rsidR="00AB42BA" w:rsidRPr="00F408D4" w:rsidRDefault="00AB42BA" w:rsidP="00BB6277">
      <w:pPr>
        <w:numPr>
          <w:ilvl w:val="0"/>
          <w:numId w:val="12"/>
        </w:numPr>
        <w:spacing w:line="320" w:lineRule="exact"/>
        <w:jc w:val="both"/>
        <w:rPr>
          <w:rFonts w:ascii="PT Sans" w:hAnsi="PT Sans"/>
          <w:spacing w:val="-2"/>
        </w:rPr>
      </w:pPr>
      <w:r w:rsidRPr="00F408D4">
        <w:rPr>
          <w:rFonts w:ascii="PT Sans" w:hAnsi="PT Sans"/>
          <w:spacing w:val="-2"/>
        </w:rPr>
        <w:t>persone fisiche per operazioni e</w:t>
      </w:r>
      <w:r>
        <w:rPr>
          <w:rFonts w:ascii="PT Sans" w:hAnsi="PT Sans"/>
          <w:spacing w:val="-2"/>
        </w:rPr>
        <w:t>stranee all’attività di impresa;</w:t>
      </w:r>
    </w:p>
    <w:p w:rsidR="00AB42BA" w:rsidRPr="00F408D4" w:rsidRDefault="00AB42BA" w:rsidP="00BB6277">
      <w:pPr>
        <w:numPr>
          <w:ilvl w:val="0"/>
          <w:numId w:val="12"/>
        </w:numPr>
        <w:spacing w:line="320" w:lineRule="exact"/>
        <w:jc w:val="both"/>
        <w:rPr>
          <w:rFonts w:ascii="PT Sans" w:hAnsi="PT Sans"/>
          <w:spacing w:val="-2"/>
        </w:rPr>
      </w:pPr>
      <w:r w:rsidRPr="00F408D4">
        <w:rPr>
          <w:rFonts w:ascii="PT Sans" w:hAnsi="PT Sans"/>
          <w:spacing w:val="-2"/>
        </w:rPr>
        <w:t>società semplici</w:t>
      </w:r>
      <w:r>
        <w:rPr>
          <w:rFonts w:ascii="PT Sans" w:hAnsi="PT Sans"/>
          <w:spacing w:val="-2"/>
        </w:rPr>
        <w:t>;</w:t>
      </w:r>
    </w:p>
    <w:p w:rsidR="00AB42BA" w:rsidRPr="00F408D4" w:rsidRDefault="00AB42BA" w:rsidP="00BB6277">
      <w:pPr>
        <w:numPr>
          <w:ilvl w:val="0"/>
          <w:numId w:val="12"/>
        </w:numPr>
        <w:spacing w:line="320" w:lineRule="exact"/>
        <w:jc w:val="both"/>
        <w:rPr>
          <w:rFonts w:ascii="PT Sans" w:hAnsi="PT Sans"/>
          <w:spacing w:val="-2"/>
        </w:rPr>
      </w:pPr>
      <w:r w:rsidRPr="00F408D4">
        <w:rPr>
          <w:rFonts w:ascii="PT Sans" w:hAnsi="PT Sans"/>
          <w:spacing w:val="-2"/>
        </w:rPr>
        <w:t>società ed enti ad esse equiparate di cui all’art</w:t>
      </w:r>
      <w:r>
        <w:rPr>
          <w:rFonts w:ascii="PT Sans" w:hAnsi="PT Sans"/>
          <w:spacing w:val="-2"/>
        </w:rPr>
        <w:t xml:space="preserve">icolo </w:t>
      </w:r>
      <w:r w:rsidRPr="00F408D4">
        <w:rPr>
          <w:rFonts w:ascii="PT Sans" w:hAnsi="PT Sans"/>
          <w:spacing w:val="-2"/>
        </w:rPr>
        <w:t>5</w:t>
      </w:r>
      <w:r>
        <w:rPr>
          <w:rFonts w:ascii="PT Sans" w:hAnsi="PT Sans"/>
          <w:spacing w:val="-2"/>
        </w:rPr>
        <w:t>,</w:t>
      </w:r>
      <w:r w:rsidRPr="00F408D4">
        <w:rPr>
          <w:rFonts w:ascii="PT Sans" w:hAnsi="PT Sans"/>
          <w:spacing w:val="-2"/>
        </w:rPr>
        <w:t xml:space="preserve"> </w:t>
      </w:r>
      <w:r>
        <w:rPr>
          <w:rFonts w:ascii="PT Sans" w:hAnsi="PT Sans"/>
          <w:spacing w:val="-2"/>
        </w:rPr>
        <w:t>Tuir;</w:t>
      </w:r>
    </w:p>
    <w:p w:rsidR="00AB42BA" w:rsidRPr="00F408D4" w:rsidRDefault="00AB42BA" w:rsidP="00BB6277">
      <w:pPr>
        <w:numPr>
          <w:ilvl w:val="0"/>
          <w:numId w:val="12"/>
        </w:numPr>
        <w:spacing w:line="320" w:lineRule="exact"/>
        <w:jc w:val="both"/>
        <w:rPr>
          <w:rFonts w:ascii="PT Sans" w:hAnsi="PT Sans"/>
          <w:spacing w:val="-2"/>
        </w:rPr>
      </w:pPr>
      <w:r w:rsidRPr="00F408D4">
        <w:rPr>
          <w:rFonts w:ascii="PT Sans" w:hAnsi="PT Sans"/>
          <w:spacing w:val="-2"/>
        </w:rPr>
        <w:t>enti non commerciali (per i beni che non rientrano nell’esercizio di impresa commerciale)</w:t>
      </w:r>
      <w:r>
        <w:rPr>
          <w:rFonts w:ascii="PT Sans" w:hAnsi="PT Sans"/>
          <w:spacing w:val="-2"/>
        </w:rPr>
        <w:t>;</w:t>
      </w:r>
    </w:p>
    <w:p w:rsidR="00AB42BA" w:rsidRPr="00F408D4" w:rsidRDefault="00AB42BA" w:rsidP="00BB6277">
      <w:pPr>
        <w:numPr>
          <w:ilvl w:val="0"/>
          <w:numId w:val="12"/>
        </w:numPr>
        <w:spacing w:line="320" w:lineRule="exact"/>
        <w:jc w:val="both"/>
        <w:rPr>
          <w:rFonts w:ascii="PT Sans" w:hAnsi="PT Sans"/>
          <w:spacing w:val="-2"/>
        </w:rPr>
      </w:pPr>
      <w:r w:rsidRPr="00F408D4">
        <w:rPr>
          <w:rFonts w:ascii="PT Sans" w:hAnsi="PT Sans"/>
          <w:spacing w:val="-2"/>
        </w:rPr>
        <w:t>soggetti non residenti senza stabile organizzazione in Italia.</w:t>
      </w:r>
    </w:p>
    <w:p w:rsidR="00AB42BA" w:rsidRPr="00F408D4" w:rsidRDefault="00AB42BA" w:rsidP="00AB42BA">
      <w:pPr>
        <w:spacing w:line="320" w:lineRule="exact"/>
        <w:jc w:val="both"/>
        <w:rPr>
          <w:rFonts w:ascii="PT Sans" w:hAnsi="PT Sans"/>
          <w:spacing w:val="-2"/>
        </w:rPr>
      </w:pPr>
      <w:r w:rsidRPr="00F408D4">
        <w:rPr>
          <w:rFonts w:ascii="PT Sans" w:hAnsi="PT Sans"/>
          <w:spacing w:val="-2"/>
        </w:rPr>
        <w:t>La disciplina consente la rideterminazione del costo/valore di acquisto delle quote/azioni e dei terreni al fine di ridurre la tassazione sulle eventuali plusvalenze emergenti in sede di realizzo. All’approssimarsi della scadenza del prossimo 2 luglio (in quanto l’ordinario termine del 30 giugno cade di sabato) vengono riepilogate le regole operative per effettuare la rivalutazione.</w:t>
      </w:r>
    </w:p>
    <w:p w:rsidR="00AB42BA" w:rsidRPr="00F408D4" w:rsidRDefault="00AB42BA" w:rsidP="00AB42BA">
      <w:pPr>
        <w:spacing w:line="320" w:lineRule="exact"/>
        <w:jc w:val="both"/>
        <w:rPr>
          <w:rFonts w:ascii="PT Sans" w:hAnsi="PT Sans" w:cs="Arial"/>
          <w:szCs w:val="22"/>
        </w:rPr>
      </w:pPr>
    </w:p>
    <w:p w:rsidR="00AB42BA" w:rsidRPr="00F408D4" w:rsidRDefault="00AB42BA" w:rsidP="00AB42BA">
      <w:pPr>
        <w:spacing w:line="320" w:lineRule="exact"/>
        <w:jc w:val="both"/>
        <w:rPr>
          <w:rFonts w:ascii="PT Sans" w:hAnsi="PT Sans" w:cs="Arial"/>
          <w:b/>
          <w:color w:val="006EB7"/>
          <w:szCs w:val="22"/>
        </w:rPr>
      </w:pPr>
      <w:r w:rsidRPr="00F408D4">
        <w:rPr>
          <w:rFonts w:ascii="PT Sans" w:hAnsi="PT Sans" w:cs="Arial"/>
          <w:b/>
          <w:color w:val="006EB7"/>
          <w:szCs w:val="22"/>
        </w:rPr>
        <w:t>L’aliquota per l’effettuazione della rivalutazione e le scadenze per il pagamento dell’imposta</w:t>
      </w:r>
    </w:p>
    <w:p w:rsidR="00AB42BA" w:rsidRPr="00F408D4" w:rsidRDefault="00AB42BA" w:rsidP="00AB42BA">
      <w:pPr>
        <w:spacing w:line="320" w:lineRule="exact"/>
        <w:jc w:val="both"/>
        <w:rPr>
          <w:rFonts w:ascii="PT Sans" w:hAnsi="PT Sans" w:cs="Arial"/>
          <w:szCs w:val="22"/>
        </w:rPr>
      </w:pPr>
      <w:r w:rsidRPr="00F408D4">
        <w:rPr>
          <w:rFonts w:ascii="PT Sans" w:hAnsi="PT Sans" w:cs="Arial"/>
          <w:szCs w:val="22"/>
        </w:rPr>
        <w:t xml:space="preserve">L’aliquota per la rivalutazione del costo delle partecipazioni in società di qualsiasi tipo, purché non negoziate in mercati regolamentati, e dei terreni </w:t>
      </w:r>
      <w:r w:rsidRPr="00C42A03">
        <w:rPr>
          <w:rFonts w:ascii="PT Sans" w:hAnsi="PT Sans" w:cs="Arial"/>
          <w:szCs w:val="22"/>
        </w:rPr>
        <w:t xml:space="preserve">è stata stabilita nella misura </w:t>
      </w:r>
      <w:r w:rsidRPr="00F408D4">
        <w:rPr>
          <w:rFonts w:ascii="PT Sans" w:hAnsi="PT Sans" w:cs="Arial"/>
          <w:szCs w:val="22"/>
        </w:rPr>
        <w:t xml:space="preserve">dell’8%. La rivalutazione può essere eseguita solo se i terreni e le partecipazioni sono detenuti alla data del 1° gennaio 2018, e consegue effetti se si redige un’apposita perizia di stima entro il </w:t>
      </w:r>
      <w:r w:rsidRPr="00F408D4">
        <w:rPr>
          <w:rFonts w:ascii="PT Sans" w:hAnsi="PT Sans"/>
          <w:spacing w:val="-2"/>
        </w:rPr>
        <w:t xml:space="preserve">2 luglio </w:t>
      </w:r>
      <w:r w:rsidRPr="00F408D4">
        <w:rPr>
          <w:rFonts w:ascii="PT Sans" w:hAnsi="PT Sans" w:cs="Arial"/>
          <w:szCs w:val="22"/>
        </w:rPr>
        <w:t xml:space="preserve">2018, che è anche la data per versare l’imposta sostitutiva dovuta, ovvero la prima rata. </w:t>
      </w:r>
    </w:p>
    <w:p w:rsidR="00AB42BA" w:rsidRPr="00F408D4" w:rsidRDefault="00AB42BA" w:rsidP="00AB42BA">
      <w:pPr>
        <w:spacing w:line="320" w:lineRule="exact"/>
        <w:jc w:val="both"/>
        <w:rPr>
          <w:rFonts w:ascii="PT Sans" w:hAnsi="PT Sans" w:cs="Arial"/>
          <w:szCs w:val="22"/>
        </w:rPr>
      </w:pPr>
      <w:r w:rsidRPr="00F408D4">
        <w:rPr>
          <w:rFonts w:ascii="PT Sans" w:hAnsi="PT Sans" w:cs="Arial"/>
          <w:szCs w:val="22"/>
        </w:rPr>
        <w:t>La rivalutazione delle partecipazioni deve avvenire mediante la redazione di una perizia riferita all’intero patrimonio sociale, indipendentemente dal fatto che oggetto della rivalutazione sia solo una quota delle partecipazioni detenute nella società. In questo caso, il costo della perizia può essere alternativamente:</w:t>
      </w:r>
    </w:p>
    <w:p w:rsidR="00AB42BA" w:rsidRPr="00F408D4" w:rsidRDefault="00AB42BA" w:rsidP="00BB6277">
      <w:pPr>
        <w:numPr>
          <w:ilvl w:val="0"/>
          <w:numId w:val="13"/>
        </w:numPr>
        <w:tabs>
          <w:tab w:val="left" w:pos="426"/>
        </w:tabs>
        <w:spacing w:line="320" w:lineRule="exact"/>
        <w:ind w:left="426" w:hanging="426"/>
        <w:jc w:val="both"/>
        <w:rPr>
          <w:rFonts w:ascii="PT Sans" w:hAnsi="PT Sans" w:cs="Arial"/>
          <w:szCs w:val="22"/>
        </w:rPr>
      </w:pPr>
      <w:r w:rsidRPr="00F408D4">
        <w:rPr>
          <w:rFonts w:ascii="PT Sans" w:hAnsi="PT Sans" w:cs="Arial"/>
          <w:szCs w:val="22"/>
        </w:rPr>
        <w:lastRenderedPageBreak/>
        <w:t>sostenuto da parte dei soci interessati alla rivalutazione della propria quota di partecipazione (diventa un costo incrementativo del valore della partecipazione);</w:t>
      </w:r>
    </w:p>
    <w:p w:rsidR="00AB42BA" w:rsidRPr="00F408D4" w:rsidRDefault="00AB42BA" w:rsidP="00BB6277">
      <w:pPr>
        <w:numPr>
          <w:ilvl w:val="0"/>
          <w:numId w:val="13"/>
        </w:numPr>
        <w:tabs>
          <w:tab w:val="left" w:pos="426"/>
        </w:tabs>
        <w:spacing w:line="320" w:lineRule="exact"/>
        <w:ind w:left="426" w:hanging="426"/>
        <w:jc w:val="both"/>
        <w:rPr>
          <w:rFonts w:ascii="PT Sans" w:hAnsi="PT Sans" w:cs="Arial"/>
          <w:szCs w:val="22"/>
        </w:rPr>
      </w:pPr>
      <w:r w:rsidRPr="00F408D4">
        <w:rPr>
          <w:rFonts w:ascii="PT Sans" w:hAnsi="PT Sans" w:cs="Arial"/>
          <w:szCs w:val="22"/>
        </w:rPr>
        <w:t>sostenuto da parte della società (diventa un costo della società deducibile in quote costanti nell’esercizio e nei 4 successivi).</w:t>
      </w:r>
    </w:p>
    <w:p w:rsidR="00AB42BA" w:rsidRPr="00F408D4" w:rsidRDefault="00AB42BA" w:rsidP="00AB42BA">
      <w:pPr>
        <w:spacing w:line="320" w:lineRule="exact"/>
        <w:jc w:val="both"/>
        <w:rPr>
          <w:rFonts w:ascii="PT Sans" w:hAnsi="PT Sans" w:cs="Arial"/>
          <w:spacing w:val="2"/>
          <w:szCs w:val="22"/>
        </w:rPr>
      </w:pPr>
      <w:r w:rsidRPr="00F408D4">
        <w:rPr>
          <w:rFonts w:ascii="PT Sans" w:hAnsi="PT Sans" w:cs="Arial"/>
          <w:spacing w:val="2"/>
          <w:szCs w:val="22"/>
        </w:rPr>
        <w:t>La perizia di stima deve essere redatta da un dottore commercialista, esperto contabile, revisore legale dei conti o perito iscritto alla Cciaa ed asseverata presso un tribunale, un giudice di pace o un notaio.</w:t>
      </w:r>
    </w:p>
    <w:p w:rsidR="00AB42BA" w:rsidRPr="00F408D4" w:rsidRDefault="00AB42BA" w:rsidP="00AB42BA">
      <w:pPr>
        <w:spacing w:line="320" w:lineRule="exact"/>
        <w:jc w:val="both"/>
        <w:rPr>
          <w:rFonts w:ascii="PT Sans" w:hAnsi="PT Sans" w:cs="Arial"/>
          <w:spacing w:val="2"/>
          <w:szCs w:val="22"/>
          <w:u w:val="single"/>
        </w:rPr>
      </w:pPr>
    </w:p>
    <w:p w:rsidR="00AB42BA" w:rsidRPr="00F408D4" w:rsidRDefault="00AB42BA" w:rsidP="00AB42BA">
      <w:pPr>
        <w:pBdr>
          <w:top w:val="single" w:sz="4" w:space="1" w:color="006EB7"/>
          <w:left w:val="single" w:sz="4" w:space="4" w:color="006EB7"/>
          <w:bottom w:val="single" w:sz="4" w:space="1" w:color="006EB7"/>
          <w:right w:val="single" w:sz="4" w:space="4" w:color="006EB7"/>
        </w:pBdr>
        <w:spacing w:line="320" w:lineRule="exact"/>
        <w:jc w:val="both"/>
        <w:rPr>
          <w:rFonts w:ascii="PT Sans" w:hAnsi="PT Sans" w:cs="Arial"/>
          <w:b/>
          <w:i/>
          <w:color w:val="006EB7"/>
          <w:spacing w:val="2"/>
          <w:szCs w:val="22"/>
        </w:rPr>
      </w:pPr>
      <w:r w:rsidRPr="00F408D4">
        <w:rPr>
          <w:rFonts w:ascii="PT Sans" w:hAnsi="PT Sans" w:cs="Arial"/>
          <w:b/>
          <w:i/>
          <w:color w:val="006EB7"/>
          <w:spacing w:val="2"/>
          <w:szCs w:val="22"/>
        </w:rPr>
        <w:t>Esempio di rivalutazione di quota di partecipazione</w:t>
      </w:r>
    </w:p>
    <w:p w:rsidR="00AB42BA" w:rsidRPr="00F408D4" w:rsidRDefault="00AB42BA" w:rsidP="00AB42BA">
      <w:pPr>
        <w:pBdr>
          <w:top w:val="single" w:sz="4" w:space="1" w:color="006EB7"/>
          <w:left w:val="single" w:sz="4" w:space="4" w:color="006EB7"/>
          <w:bottom w:val="single" w:sz="4" w:space="1" w:color="006EB7"/>
          <w:right w:val="single" w:sz="4" w:space="4" w:color="006EB7"/>
        </w:pBdr>
        <w:spacing w:line="340" w:lineRule="exact"/>
        <w:jc w:val="both"/>
        <w:rPr>
          <w:rFonts w:ascii="PT Sans" w:hAnsi="PT Sans" w:cs="Arial"/>
          <w:spacing w:val="2"/>
          <w:szCs w:val="22"/>
          <w:u w:val="single"/>
        </w:rPr>
      </w:pPr>
      <w:r w:rsidRPr="00F408D4">
        <w:rPr>
          <w:rFonts w:ascii="PT Sans" w:hAnsi="PT Sans" w:cs="Arial"/>
          <w:spacing w:val="2"/>
          <w:szCs w:val="22"/>
        </w:rPr>
        <w:t>Il sig. Vecchi Alberto partecipa al 35% al capitale sociale della società Immobiliare Verde Srl. Il capitale sociale è pari a 100.000</w:t>
      </w:r>
      <w:r>
        <w:rPr>
          <w:rFonts w:ascii="PT Sans" w:hAnsi="PT Sans" w:cs="Arial"/>
          <w:spacing w:val="2"/>
          <w:szCs w:val="22"/>
        </w:rPr>
        <w:t xml:space="preserve"> euro</w:t>
      </w:r>
      <w:r w:rsidRPr="00F408D4">
        <w:rPr>
          <w:rFonts w:ascii="PT Sans" w:hAnsi="PT Sans" w:cs="Arial"/>
          <w:spacing w:val="2"/>
          <w:szCs w:val="22"/>
        </w:rPr>
        <w:t xml:space="preserve"> e il costo della partecipazione detenuta dal sig. Vecchi Alberto è di 50.000</w:t>
      </w:r>
      <w:r>
        <w:rPr>
          <w:rFonts w:ascii="PT Sans" w:hAnsi="PT Sans" w:cs="Arial"/>
          <w:spacing w:val="2"/>
          <w:szCs w:val="22"/>
        </w:rPr>
        <w:t xml:space="preserve"> euro</w:t>
      </w:r>
      <w:r w:rsidRPr="00F408D4">
        <w:rPr>
          <w:rFonts w:ascii="PT Sans" w:hAnsi="PT Sans" w:cs="Arial"/>
          <w:spacing w:val="2"/>
          <w:szCs w:val="22"/>
        </w:rPr>
        <w:t xml:space="preserve">. </w:t>
      </w:r>
      <w:r>
        <w:rPr>
          <w:rFonts w:ascii="PT Sans" w:hAnsi="PT Sans" w:cs="Arial"/>
          <w:spacing w:val="2"/>
          <w:szCs w:val="22"/>
        </w:rPr>
        <w:t>I</w:t>
      </w:r>
      <w:r w:rsidRPr="00F408D4">
        <w:rPr>
          <w:rFonts w:ascii="PT Sans" w:hAnsi="PT Sans" w:cs="Arial"/>
          <w:spacing w:val="2"/>
          <w:szCs w:val="22"/>
        </w:rPr>
        <w:t>l sig. Alberto intende vendere la propria partecipazione al fratello Silvio. I soci danno incarico al commercialista della società affinché rediga la perizia di stima alla data del 1° gennaio 2018 del patrimonio netto sociale: emerge un patrimonio netto stimato pari a 1.250.000</w:t>
      </w:r>
      <w:r>
        <w:rPr>
          <w:rFonts w:ascii="PT Sans" w:hAnsi="PT Sans" w:cs="Arial"/>
          <w:spacing w:val="2"/>
          <w:szCs w:val="22"/>
        </w:rPr>
        <w:t xml:space="preserve"> euro</w:t>
      </w:r>
      <w:r w:rsidRPr="00F408D4">
        <w:rPr>
          <w:rFonts w:ascii="PT Sans" w:hAnsi="PT Sans" w:cs="Arial"/>
          <w:spacing w:val="2"/>
          <w:szCs w:val="22"/>
        </w:rPr>
        <w:t>. Il valore della quota di partecipazione del 35% al capitale sociale della Immobiliare Verde Srl posseduta dal sig. Vecchi Alberto, pertanto, ammonta a 437.500</w:t>
      </w:r>
      <w:r>
        <w:rPr>
          <w:rFonts w:ascii="PT Sans" w:hAnsi="PT Sans" w:cs="Arial"/>
          <w:spacing w:val="2"/>
          <w:szCs w:val="22"/>
        </w:rPr>
        <w:t xml:space="preserve"> euro</w:t>
      </w:r>
      <w:r w:rsidRPr="00F408D4">
        <w:rPr>
          <w:rFonts w:ascii="PT Sans" w:hAnsi="PT Sans" w:cs="Arial"/>
          <w:spacing w:val="2"/>
          <w:szCs w:val="22"/>
        </w:rPr>
        <w:t xml:space="preserve">, ed è per questo corrispettivo che i fratelli si accordano per l’acquisto della partecipazione da parte del sig. Silvio. Il sig. Alberto versa il </w:t>
      </w:r>
      <w:r w:rsidRPr="00F408D4">
        <w:rPr>
          <w:rFonts w:ascii="PT Sans" w:hAnsi="PT Sans"/>
          <w:spacing w:val="-2"/>
        </w:rPr>
        <w:t>2 luglio</w:t>
      </w:r>
      <w:r w:rsidRPr="00F408D4">
        <w:rPr>
          <w:rFonts w:ascii="PT Sans" w:hAnsi="PT Sans" w:cs="Arial"/>
          <w:spacing w:val="2"/>
          <w:szCs w:val="22"/>
        </w:rPr>
        <w:t xml:space="preserve"> 2018 in unica soluzione con il modello F24 (codice tributo 8055 anno di riferimento 2018) l’imposta sostitutiva di 35.000</w:t>
      </w:r>
      <w:r>
        <w:rPr>
          <w:rFonts w:ascii="PT Sans" w:hAnsi="PT Sans" w:cs="Arial"/>
          <w:spacing w:val="2"/>
          <w:szCs w:val="22"/>
        </w:rPr>
        <w:t xml:space="preserve"> euro</w:t>
      </w:r>
      <w:r w:rsidRPr="00F408D4">
        <w:rPr>
          <w:rFonts w:ascii="PT Sans" w:hAnsi="PT Sans" w:cs="Arial"/>
          <w:spacing w:val="2"/>
          <w:szCs w:val="22"/>
        </w:rPr>
        <w:t xml:space="preserve"> (pari a </w:t>
      </w:r>
      <w:r>
        <w:rPr>
          <w:rFonts w:ascii="PT Sans" w:hAnsi="PT Sans" w:cs="Arial"/>
          <w:spacing w:val="2"/>
          <w:szCs w:val="22"/>
        </w:rPr>
        <w:t>euro</w:t>
      </w:r>
      <w:r w:rsidRPr="00F408D4">
        <w:rPr>
          <w:rFonts w:ascii="PT Sans" w:hAnsi="PT Sans" w:cs="Arial"/>
          <w:spacing w:val="2"/>
          <w:szCs w:val="22"/>
        </w:rPr>
        <w:t xml:space="preserve"> 437.500</w:t>
      </w:r>
      <w:r>
        <w:rPr>
          <w:rFonts w:ascii="PT Sans" w:hAnsi="PT Sans" w:cs="Arial"/>
          <w:spacing w:val="2"/>
          <w:szCs w:val="22"/>
        </w:rPr>
        <w:t xml:space="preserve"> </w:t>
      </w:r>
      <w:r w:rsidRPr="00F408D4">
        <w:rPr>
          <w:rFonts w:ascii="PT Sans" w:hAnsi="PT Sans" w:cs="Arial"/>
          <w:spacing w:val="2"/>
          <w:szCs w:val="22"/>
        </w:rPr>
        <w:t>* 8%) per non assoggettare a tassazione “ordinaria” la plusvalenza che sarebbe scaturita dalla vendita. La vendita della partecipazione del 35% al fratello viene formalizzata in data 27 settembre 2018 al prezzo di 437.500</w:t>
      </w:r>
      <w:r>
        <w:rPr>
          <w:rFonts w:ascii="PT Sans" w:hAnsi="PT Sans" w:cs="Arial"/>
          <w:spacing w:val="2"/>
          <w:szCs w:val="22"/>
        </w:rPr>
        <w:t xml:space="preserve"> euro</w:t>
      </w:r>
      <w:r w:rsidRPr="00F408D4">
        <w:rPr>
          <w:rFonts w:ascii="PT Sans" w:hAnsi="PT Sans" w:cs="Arial"/>
          <w:spacing w:val="2"/>
          <w:szCs w:val="22"/>
        </w:rPr>
        <w:t xml:space="preserve">. </w:t>
      </w:r>
    </w:p>
    <w:p w:rsidR="00AB42BA" w:rsidRPr="00F408D4" w:rsidRDefault="00AB42BA" w:rsidP="00AB42BA">
      <w:pPr>
        <w:spacing w:before="200" w:line="340" w:lineRule="exact"/>
        <w:jc w:val="both"/>
        <w:rPr>
          <w:rFonts w:ascii="PT Sans" w:hAnsi="PT Sans" w:cs="Arial"/>
          <w:szCs w:val="22"/>
        </w:rPr>
      </w:pPr>
      <w:r w:rsidRPr="00F408D4">
        <w:rPr>
          <w:rFonts w:ascii="PT Sans" w:hAnsi="PT Sans" w:cs="Arial"/>
          <w:szCs w:val="22"/>
        </w:rPr>
        <w:t>Per quanto riguarda i terreni, le plusvalenze realizzate in occasione di cessioni a titolo oneroso di terreni edificabili sono sempre tassate, mentre le plusvalenze realizzate in occasione di cessioni a titolo oneroso di terreni agricoli sono tassate sono nel caso in cui si tratti di “rivendite” infraquinquennali. Nel caso di rivalutazione di terreni la perizia di stima deve essere redatta da un ingegnere, architetto, geometra, dottore agronomo, agrotecnico, perito agrario o perito industriale edile ed asseverata presso un tribunale, un giudice di pace o un notaio.</w:t>
      </w:r>
    </w:p>
    <w:p w:rsidR="00AB42BA" w:rsidRPr="00F408D4" w:rsidRDefault="00AB42BA" w:rsidP="00AB42BA">
      <w:pPr>
        <w:spacing w:line="340" w:lineRule="exact"/>
        <w:jc w:val="both"/>
        <w:rPr>
          <w:rFonts w:ascii="PT Sans" w:hAnsi="PT Sans" w:cs="Arial"/>
          <w:szCs w:val="22"/>
        </w:rPr>
      </w:pPr>
      <w:r w:rsidRPr="00F408D4">
        <w:rPr>
          <w:rFonts w:ascii="PT Sans" w:hAnsi="PT Sans" w:cs="Arial"/>
          <w:szCs w:val="22"/>
        </w:rPr>
        <w:t>L’imposta sostitutiva va applicata sul valore complessivo del bene come definito dalla perizia, indipendentemente dal costo/valore di acquisto di acquisto della partecipazione o del terreno, con un’aliquota dell’8% che si presenta unica:</w:t>
      </w:r>
    </w:p>
    <w:p w:rsidR="00AB42BA" w:rsidRPr="00F408D4" w:rsidRDefault="00AB42BA" w:rsidP="00BB6277">
      <w:pPr>
        <w:numPr>
          <w:ilvl w:val="0"/>
          <w:numId w:val="11"/>
        </w:numPr>
        <w:spacing w:line="340" w:lineRule="exact"/>
        <w:ind w:left="426" w:hanging="426"/>
        <w:jc w:val="both"/>
        <w:rPr>
          <w:rFonts w:ascii="PT Sans" w:hAnsi="PT Sans" w:cs="Arial"/>
          <w:szCs w:val="22"/>
        </w:rPr>
      </w:pPr>
      <w:r w:rsidRPr="00F408D4">
        <w:rPr>
          <w:rFonts w:ascii="PT Sans" w:hAnsi="PT Sans" w:cs="Arial"/>
          <w:szCs w:val="22"/>
        </w:rPr>
        <w:t>per le partecipazioni qualificate;</w:t>
      </w:r>
    </w:p>
    <w:p w:rsidR="00AB42BA" w:rsidRPr="00F408D4" w:rsidRDefault="00AB42BA" w:rsidP="00BB6277">
      <w:pPr>
        <w:numPr>
          <w:ilvl w:val="0"/>
          <w:numId w:val="11"/>
        </w:numPr>
        <w:spacing w:line="340" w:lineRule="exact"/>
        <w:ind w:left="426" w:hanging="426"/>
        <w:jc w:val="both"/>
        <w:rPr>
          <w:rFonts w:ascii="PT Sans" w:hAnsi="PT Sans" w:cs="Arial"/>
          <w:szCs w:val="22"/>
        </w:rPr>
      </w:pPr>
      <w:r w:rsidRPr="00F408D4">
        <w:rPr>
          <w:rFonts w:ascii="PT Sans" w:hAnsi="PT Sans" w:cs="Arial"/>
          <w:szCs w:val="22"/>
        </w:rPr>
        <w:t>per le partecipazioni non qualificate;</w:t>
      </w:r>
    </w:p>
    <w:p w:rsidR="00AB42BA" w:rsidRPr="00F408D4" w:rsidRDefault="00AB42BA" w:rsidP="00BB6277">
      <w:pPr>
        <w:numPr>
          <w:ilvl w:val="0"/>
          <w:numId w:val="11"/>
        </w:numPr>
        <w:spacing w:line="340" w:lineRule="exact"/>
        <w:ind w:left="426" w:hanging="426"/>
        <w:jc w:val="both"/>
        <w:rPr>
          <w:rFonts w:ascii="PT Sans" w:hAnsi="PT Sans" w:cs="Arial"/>
          <w:szCs w:val="22"/>
        </w:rPr>
      </w:pPr>
      <w:r w:rsidRPr="00F408D4">
        <w:rPr>
          <w:rFonts w:ascii="PT Sans" w:hAnsi="PT Sans" w:cs="Arial"/>
          <w:szCs w:val="22"/>
        </w:rPr>
        <w:t>per terreni agricoli o edificabili (inclusi i terreni lottizzati o quelli sui quali sono state costruite opere per renderli edificabili) posseduti a titolo di proprietà, nuda proprietà, usufrutto.</w:t>
      </w:r>
    </w:p>
    <w:p w:rsidR="00AB42BA" w:rsidRPr="00F408D4" w:rsidRDefault="00AB42BA" w:rsidP="00AB42BA">
      <w:pPr>
        <w:spacing w:before="120" w:line="340" w:lineRule="exact"/>
        <w:jc w:val="both"/>
        <w:rPr>
          <w:rFonts w:ascii="PT Sans" w:hAnsi="PT Sans" w:cs="Arial"/>
          <w:spacing w:val="2"/>
          <w:szCs w:val="22"/>
          <w:u w:val="single"/>
        </w:rPr>
      </w:pPr>
    </w:p>
    <w:p w:rsidR="00AB42BA" w:rsidRPr="00F408D4" w:rsidRDefault="00AB42BA" w:rsidP="00AB42BA">
      <w:pPr>
        <w:pBdr>
          <w:top w:val="single" w:sz="4" w:space="1" w:color="006EB7"/>
          <w:left w:val="single" w:sz="4" w:space="4" w:color="006EB7"/>
          <w:bottom w:val="single" w:sz="4" w:space="1" w:color="006EB7"/>
          <w:right w:val="single" w:sz="4" w:space="4" w:color="006EB7"/>
        </w:pBdr>
        <w:spacing w:line="320" w:lineRule="exact"/>
        <w:jc w:val="both"/>
        <w:rPr>
          <w:rFonts w:ascii="PT Sans" w:hAnsi="PT Sans" w:cs="Arial"/>
          <w:b/>
          <w:i/>
          <w:color w:val="006EB7"/>
          <w:spacing w:val="2"/>
          <w:szCs w:val="22"/>
        </w:rPr>
      </w:pPr>
      <w:r w:rsidRPr="00F408D4">
        <w:rPr>
          <w:rFonts w:ascii="PT Sans" w:hAnsi="PT Sans" w:cs="Arial"/>
          <w:b/>
          <w:i/>
          <w:color w:val="006EB7"/>
          <w:spacing w:val="2"/>
          <w:szCs w:val="22"/>
        </w:rPr>
        <w:t>Esempio di rivalutazione di terreno edificabile</w:t>
      </w:r>
    </w:p>
    <w:p w:rsidR="00AB42BA" w:rsidRPr="00F408D4" w:rsidRDefault="00AB42BA" w:rsidP="00AB42BA">
      <w:pPr>
        <w:pBdr>
          <w:top w:val="single" w:sz="4" w:space="1" w:color="006EB7"/>
          <w:left w:val="single" w:sz="4" w:space="4" w:color="006EB7"/>
          <w:bottom w:val="single" w:sz="4" w:space="1" w:color="006EB7"/>
          <w:right w:val="single" w:sz="4" w:space="4" w:color="006EB7"/>
        </w:pBdr>
        <w:spacing w:line="340" w:lineRule="exact"/>
        <w:jc w:val="both"/>
        <w:rPr>
          <w:rFonts w:ascii="PT Sans" w:hAnsi="PT Sans" w:cs="Arial"/>
          <w:b/>
          <w:szCs w:val="22"/>
        </w:rPr>
      </w:pPr>
      <w:r w:rsidRPr="00F408D4">
        <w:rPr>
          <w:rFonts w:ascii="PT Sans" w:hAnsi="PT Sans" w:cs="Arial"/>
          <w:spacing w:val="2"/>
          <w:szCs w:val="22"/>
        </w:rPr>
        <w:t>Il sig. Gandi Luca acquista un terreno edificabile di 10.000 mq nell’anno 2013 al prezzo di 300.000</w:t>
      </w:r>
      <w:r>
        <w:rPr>
          <w:rFonts w:ascii="PT Sans" w:hAnsi="PT Sans" w:cs="Arial"/>
          <w:spacing w:val="2"/>
          <w:szCs w:val="22"/>
        </w:rPr>
        <w:t xml:space="preserve"> euro</w:t>
      </w:r>
      <w:r w:rsidRPr="00F408D4">
        <w:rPr>
          <w:rFonts w:ascii="PT Sans" w:hAnsi="PT Sans" w:cs="Arial"/>
          <w:spacing w:val="2"/>
          <w:szCs w:val="22"/>
        </w:rPr>
        <w:t xml:space="preserve">. Il terreno viene inserito nel Piano Urbanistico Attuativo del Comune di Cavezzo (MO) in data 19 marzo 2017 e verrà venduto entro il </w:t>
      </w:r>
      <w:r w:rsidRPr="00C42A03">
        <w:rPr>
          <w:rFonts w:ascii="PT Sans" w:hAnsi="PT Sans"/>
          <w:spacing w:val="-2"/>
        </w:rPr>
        <w:t xml:space="preserve">31 dicembre </w:t>
      </w:r>
      <w:r w:rsidRPr="00F408D4">
        <w:rPr>
          <w:rFonts w:ascii="PT Sans" w:hAnsi="PT Sans" w:cs="Arial"/>
          <w:spacing w:val="2"/>
          <w:szCs w:val="22"/>
        </w:rPr>
        <w:t xml:space="preserve">2018. Il sig. Gandi dà incarico ad un architetto di redigere una </w:t>
      </w:r>
      <w:r w:rsidRPr="00F408D4">
        <w:rPr>
          <w:rFonts w:ascii="PT Sans" w:hAnsi="PT Sans" w:cs="Arial"/>
          <w:spacing w:val="2"/>
          <w:szCs w:val="22"/>
        </w:rPr>
        <w:lastRenderedPageBreak/>
        <w:t xml:space="preserve">perizia asseverata di stima del valore venale del terreno, per il quale vengono prese a riferimento anche le tabelle deliberate per il calcolo dell’Imposta Municipale Unica: il valore è di </w:t>
      </w:r>
      <w:r>
        <w:rPr>
          <w:rFonts w:ascii="PT Sans" w:hAnsi="PT Sans" w:cs="Arial"/>
          <w:spacing w:val="2"/>
          <w:szCs w:val="22"/>
        </w:rPr>
        <w:t>euro</w:t>
      </w:r>
      <w:r w:rsidRPr="00F408D4">
        <w:rPr>
          <w:rFonts w:ascii="PT Sans" w:hAnsi="PT Sans" w:cs="Arial"/>
          <w:spacing w:val="2"/>
          <w:szCs w:val="22"/>
        </w:rPr>
        <w:t xml:space="preserve"> 110/mq, moltiplicat</w:t>
      </w:r>
      <w:r>
        <w:rPr>
          <w:rFonts w:ascii="PT Sans" w:hAnsi="PT Sans" w:cs="Arial"/>
          <w:spacing w:val="2"/>
          <w:szCs w:val="22"/>
        </w:rPr>
        <w:t xml:space="preserve">o per 10.000 mq, corrisponde a </w:t>
      </w:r>
      <w:r w:rsidRPr="00F408D4">
        <w:rPr>
          <w:rFonts w:ascii="PT Sans" w:hAnsi="PT Sans" w:cs="Arial"/>
          <w:spacing w:val="2"/>
          <w:szCs w:val="22"/>
        </w:rPr>
        <w:t xml:space="preserve">1.100.000 </w:t>
      </w:r>
      <w:r>
        <w:rPr>
          <w:rFonts w:ascii="PT Sans" w:hAnsi="PT Sans" w:cs="Arial"/>
          <w:spacing w:val="2"/>
          <w:szCs w:val="22"/>
        </w:rPr>
        <w:t xml:space="preserve">euro </w:t>
      </w:r>
      <w:r w:rsidRPr="00F408D4">
        <w:rPr>
          <w:rFonts w:ascii="PT Sans" w:hAnsi="PT Sans" w:cs="Arial"/>
          <w:spacing w:val="2"/>
          <w:szCs w:val="22"/>
        </w:rPr>
        <w:t>e la perizia viene giurata presso il Tribunale di Modena in data 22 giugno 2018. L’imposta sostitutiva per la rivalutazione del terreno è di 88.000</w:t>
      </w:r>
      <w:r>
        <w:rPr>
          <w:rFonts w:ascii="PT Sans" w:hAnsi="PT Sans" w:cs="Arial"/>
          <w:spacing w:val="2"/>
          <w:szCs w:val="22"/>
        </w:rPr>
        <w:t xml:space="preserve"> euro</w:t>
      </w:r>
      <w:r w:rsidRPr="00F408D4">
        <w:rPr>
          <w:rFonts w:ascii="PT Sans" w:hAnsi="PT Sans" w:cs="Arial"/>
          <w:spacing w:val="2"/>
          <w:szCs w:val="22"/>
        </w:rPr>
        <w:t xml:space="preserve"> (pari a </w:t>
      </w:r>
      <w:r>
        <w:rPr>
          <w:rFonts w:ascii="PT Sans" w:hAnsi="PT Sans" w:cs="Arial"/>
          <w:spacing w:val="2"/>
          <w:szCs w:val="22"/>
        </w:rPr>
        <w:t>euro</w:t>
      </w:r>
      <w:r w:rsidRPr="00F408D4">
        <w:rPr>
          <w:rFonts w:ascii="PT Sans" w:hAnsi="PT Sans" w:cs="Arial"/>
          <w:spacing w:val="2"/>
          <w:szCs w:val="22"/>
        </w:rPr>
        <w:t xml:space="preserve"> 1.100.000 * 8%). Nel frattempo il sig. Gandi Luca ha optato per il pagamento in 3 rate annuali dell’imposta sostitutiva, versando </w:t>
      </w:r>
      <w:r>
        <w:rPr>
          <w:rFonts w:ascii="PT Sans" w:hAnsi="PT Sans" w:cs="Arial"/>
          <w:spacing w:val="2"/>
          <w:szCs w:val="22"/>
        </w:rPr>
        <w:t>la prima rata (euro</w:t>
      </w:r>
      <w:r w:rsidRPr="00F408D4">
        <w:rPr>
          <w:rFonts w:ascii="PT Sans" w:hAnsi="PT Sans" w:cs="Arial"/>
          <w:spacing w:val="2"/>
          <w:szCs w:val="22"/>
        </w:rPr>
        <w:t xml:space="preserve"> 88.000 / 3 = 29.333,33</w:t>
      </w:r>
      <w:r>
        <w:rPr>
          <w:rFonts w:ascii="PT Sans" w:hAnsi="PT Sans" w:cs="Arial"/>
          <w:spacing w:val="2"/>
          <w:szCs w:val="22"/>
        </w:rPr>
        <w:t xml:space="preserve"> euro</w:t>
      </w:r>
      <w:r w:rsidRPr="00F408D4">
        <w:rPr>
          <w:rFonts w:ascii="PT Sans" w:hAnsi="PT Sans" w:cs="Arial"/>
          <w:spacing w:val="2"/>
          <w:szCs w:val="22"/>
        </w:rPr>
        <w:t xml:space="preserve">) alla scadenza del 2 luglio 2018 mediante il modello F24 con indicazione del codice tributo 8056 anno di riferimento 2018. Entro il 1° luglio 2019 </w:t>
      </w:r>
      <w:r w:rsidRPr="00F408D4">
        <w:rPr>
          <w:rFonts w:ascii="PT Sans" w:hAnsi="PT Sans"/>
          <w:spacing w:val="-2"/>
        </w:rPr>
        <w:t xml:space="preserve">(in quanto l’ordinario termine del 30 giugno cade di domenica) </w:t>
      </w:r>
      <w:r w:rsidRPr="00F408D4">
        <w:rPr>
          <w:rFonts w:ascii="PT Sans" w:hAnsi="PT Sans" w:cs="Arial"/>
          <w:spacing w:val="2"/>
          <w:szCs w:val="22"/>
        </w:rPr>
        <w:t>andrà versata la seconda rata dell’imposta sostitutiva pari a 30.213,33</w:t>
      </w:r>
      <w:r>
        <w:rPr>
          <w:rFonts w:ascii="PT Sans" w:hAnsi="PT Sans" w:cs="Arial"/>
          <w:spacing w:val="2"/>
          <w:szCs w:val="22"/>
        </w:rPr>
        <w:t xml:space="preserve"> euro</w:t>
      </w:r>
      <w:r w:rsidRPr="00F408D4">
        <w:rPr>
          <w:rFonts w:ascii="PT Sans" w:hAnsi="PT Sans" w:cs="Arial"/>
          <w:spacing w:val="2"/>
          <w:szCs w:val="22"/>
        </w:rPr>
        <w:t xml:space="preserve"> ed entro il 30 giugno 2020 andrà versata l’ultima rata dell’imposta sostitutiva pari a 31.093,33</w:t>
      </w:r>
      <w:r>
        <w:rPr>
          <w:rFonts w:ascii="PT Sans" w:hAnsi="PT Sans" w:cs="Arial"/>
          <w:spacing w:val="2"/>
          <w:szCs w:val="22"/>
        </w:rPr>
        <w:t xml:space="preserve"> euro</w:t>
      </w:r>
      <w:r w:rsidRPr="00F408D4">
        <w:rPr>
          <w:rFonts w:ascii="PT Sans" w:hAnsi="PT Sans" w:cs="Arial"/>
          <w:spacing w:val="2"/>
          <w:szCs w:val="22"/>
        </w:rPr>
        <w:t>. Gli importi della seconda e terza rata sono maggiorati dell’interesse del 3% su base annua. Il valore di 1.100.000</w:t>
      </w:r>
      <w:r>
        <w:rPr>
          <w:rFonts w:ascii="PT Sans" w:hAnsi="PT Sans" w:cs="Arial"/>
          <w:spacing w:val="2"/>
          <w:szCs w:val="22"/>
        </w:rPr>
        <w:t xml:space="preserve"> euro</w:t>
      </w:r>
      <w:r w:rsidRPr="00F408D4">
        <w:rPr>
          <w:rFonts w:ascii="PT Sans" w:hAnsi="PT Sans" w:cs="Arial"/>
          <w:spacing w:val="2"/>
          <w:szCs w:val="22"/>
        </w:rPr>
        <w:t xml:space="preserve"> corrisponde al prezzo che viene concordato con l’acquirente del terreno nel rogito di vendita del 28 settembre 2018.</w:t>
      </w:r>
    </w:p>
    <w:p w:rsidR="00AB42BA" w:rsidRPr="00F408D4" w:rsidRDefault="00AB42BA" w:rsidP="00AB42BA">
      <w:pPr>
        <w:spacing w:line="320" w:lineRule="exact"/>
        <w:jc w:val="both"/>
        <w:rPr>
          <w:rFonts w:ascii="PT Sans" w:hAnsi="PT Sans"/>
        </w:rPr>
      </w:pPr>
    </w:p>
    <w:p w:rsidR="00AB42BA" w:rsidRPr="00301148" w:rsidRDefault="00AB42BA" w:rsidP="00AB42BA">
      <w:pPr>
        <w:pStyle w:val="corpotestoinformativa"/>
        <w:rPr>
          <w:rFonts w:ascii="PT Sans" w:hAnsi="PT Sans"/>
        </w:rPr>
      </w:pPr>
    </w:p>
    <w:p w:rsidR="00AB42BA" w:rsidRPr="00301148" w:rsidRDefault="00AB42BA" w:rsidP="00AB42BA">
      <w:pPr>
        <w:pStyle w:val="corpotestoinformativa"/>
        <w:jc w:val="center"/>
        <w:rPr>
          <w:rFonts w:ascii="PT Sans" w:hAnsi="PT Sans"/>
        </w:rPr>
      </w:pPr>
      <w:r>
        <w:rPr>
          <w:rFonts w:ascii="PT Sans" w:hAnsi="PT Sans"/>
        </w:rPr>
        <w:t>**********</w:t>
      </w:r>
    </w:p>
    <w:p w:rsidR="00AB42BA" w:rsidRPr="0069075C" w:rsidRDefault="00AB42BA" w:rsidP="00AB42BA">
      <w:pPr>
        <w:pStyle w:val="corpotestoinformativa"/>
        <w:spacing w:before="120" w:line="320" w:lineRule="exact"/>
        <w:rPr>
          <w:rFonts w:ascii="PT Sans" w:hAnsi="PT Sans"/>
        </w:rPr>
      </w:pPr>
    </w:p>
    <w:p w:rsidR="00AB42BA" w:rsidRPr="0069075C" w:rsidRDefault="00AB42BA" w:rsidP="00AB42BA">
      <w:pPr>
        <w:pStyle w:val="titoloinformativa"/>
        <w:spacing w:line="320" w:lineRule="exact"/>
        <w:rPr>
          <w:rFonts w:ascii="PT Sans" w:hAnsi="PT Sans"/>
          <w:szCs w:val="22"/>
        </w:rPr>
      </w:pPr>
      <w:r w:rsidRPr="0069075C">
        <w:rPr>
          <w:rFonts w:ascii="PT Sans" w:hAnsi="PT Sans"/>
          <w:szCs w:val="22"/>
        </w:rPr>
        <w:t>ACCONTO 2018 IMU E TASI</w:t>
      </w:r>
    </w:p>
    <w:p w:rsidR="00AB42BA" w:rsidRPr="0069075C" w:rsidRDefault="00AB42BA" w:rsidP="00AB42BA">
      <w:pPr>
        <w:spacing w:line="320" w:lineRule="exact"/>
        <w:jc w:val="both"/>
        <w:rPr>
          <w:rFonts w:ascii="PT Sans" w:hAnsi="PT Sans"/>
          <w:b/>
          <w:bCs/>
          <w:snapToGrid w:val="0"/>
          <w:szCs w:val="22"/>
        </w:rPr>
      </w:pPr>
    </w:p>
    <w:p w:rsidR="00AB42BA" w:rsidRPr="0069075C" w:rsidRDefault="00AB42BA" w:rsidP="00AB42BA">
      <w:pPr>
        <w:spacing w:line="320" w:lineRule="exact"/>
        <w:jc w:val="both"/>
        <w:rPr>
          <w:rFonts w:ascii="PT Sans" w:hAnsi="PT Sans" w:cs="Arial"/>
          <w:szCs w:val="22"/>
        </w:rPr>
      </w:pPr>
      <w:r w:rsidRPr="0069075C">
        <w:rPr>
          <w:rFonts w:ascii="PT Sans" w:hAnsi="PT Sans" w:cs="Arial"/>
          <w:szCs w:val="22"/>
        </w:rPr>
        <w:t>In questo contributo si provvederà a ricordare le principali regole applicative Imu e Tasi, partendo dalle scadenze e regole di versamento, per poi ricordare (sinteticamente) quali siano gli immobili interessati dalle due imposte, le rispettive basi imponibili e le eventuali riduzioni.</w:t>
      </w:r>
    </w:p>
    <w:p w:rsidR="00AB42BA" w:rsidRPr="0069075C" w:rsidRDefault="00AB42BA" w:rsidP="00AB42BA">
      <w:pPr>
        <w:spacing w:line="120" w:lineRule="exact"/>
        <w:jc w:val="both"/>
        <w:rPr>
          <w:rFonts w:ascii="PT Sans" w:hAnsi="PT Sans"/>
          <w:szCs w:val="22"/>
        </w:rPr>
      </w:pPr>
    </w:p>
    <w:tbl>
      <w:tblPr>
        <w:tblW w:w="9720" w:type="dxa"/>
        <w:tblInd w:w="108" w:type="dxa"/>
        <w:tblBorders>
          <w:top w:val="single" w:sz="4" w:space="0" w:color="779BAD"/>
          <w:left w:val="single" w:sz="4" w:space="0" w:color="779BAD"/>
          <w:bottom w:val="single" w:sz="4" w:space="0" w:color="779BAD"/>
          <w:right w:val="single" w:sz="4" w:space="0" w:color="779BAD"/>
          <w:insideH w:val="single" w:sz="4" w:space="0" w:color="779BAD"/>
          <w:insideV w:val="single" w:sz="4" w:space="0" w:color="779BAD"/>
        </w:tblBorders>
        <w:tblLook w:val="04A0" w:firstRow="1" w:lastRow="0" w:firstColumn="1" w:lastColumn="0" w:noHBand="0" w:noVBand="1"/>
      </w:tblPr>
      <w:tblGrid>
        <w:gridCol w:w="9720"/>
      </w:tblGrid>
      <w:tr w:rsidR="00AB42BA" w:rsidRPr="0069075C" w:rsidTr="006D664E">
        <w:trPr>
          <w:trHeight w:val="325"/>
        </w:trPr>
        <w:tc>
          <w:tcPr>
            <w:tcW w:w="9720" w:type="dxa"/>
            <w:tcBorders>
              <w:top w:val="single" w:sz="8" w:space="0" w:color="006EB7"/>
              <w:left w:val="single" w:sz="8" w:space="0" w:color="006EB7"/>
              <w:bottom w:val="single" w:sz="8" w:space="0" w:color="006EB7"/>
              <w:right w:val="single" w:sz="8" w:space="0" w:color="006EB7"/>
            </w:tcBorders>
          </w:tcPr>
          <w:p w:rsidR="00AB42BA" w:rsidRPr="0069075C" w:rsidRDefault="00AB42BA" w:rsidP="006D664E">
            <w:pPr>
              <w:spacing w:before="120" w:after="120" w:line="320" w:lineRule="exact"/>
              <w:ind w:left="102" w:right="102"/>
              <w:jc w:val="both"/>
              <w:rPr>
                <w:rFonts w:ascii="PT Sans" w:hAnsi="PT Sans" w:cs="Arial"/>
                <w:spacing w:val="-2"/>
                <w:szCs w:val="22"/>
              </w:rPr>
            </w:pPr>
            <w:r w:rsidRPr="0069075C">
              <w:rPr>
                <w:rFonts w:ascii="PT Sans" w:hAnsi="PT Sans" w:cs="Arial"/>
                <w:spacing w:val="-2"/>
                <w:szCs w:val="22"/>
              </w:rPr>
              <w:t xml:space="preserve">Si coglie l’occasione per ricordare alla clientela dello Studio di fornire il più tempestivamente possibile tutti i dati </w:t>
            </w:r>
            <w:r w:rsidRPr="0069075C">
              <w:rPr>
                <w:rFonts w:ascii="PT Sans" w:hAnsi="PT Sans" w:cs="Arial"/>
                <w:bCs/>
                <w:color w:val="000000"/>
                <w:spacing w:val="-2"/>
                <w:szCs w:val="22"/>
              </w:rPr>
              <w:t>riguardanti</w:t>
            </w:r>
            <w:r w:rsidRPr="0069075C">
              <w:rPr>
                <w:rFonts w:ascii="PT Sans" w:hAnsi="PT Sans" w:cs="Arial"/>
                <w:spacing w:val="-2"/>
                <w:szCs w:val="22"/>
              </w:rPr>
              <w:t xml:space="preserve"> modificazioni soggettive (acquisizioni, cessioni, etc.) e oggettive (modifiche catastali, inagibilità, ristrutturazioni, etc.) degli immobili posseduti, onde agevolare il calcolo delle imposte.</w:t>
            </w:r>
          </w:p>
        </w:tc>
      </w:tr>
    </w:tbl>
    <w:p w:rsidR="00AB42BA" w:rsidRPr="0069075C" w:rsidRDefault="00AB42BA" w:rsidP="00AB42BA">
      <w:pPr>
        <w:spacing w:line="120" w:lineRule="exact"/>
        <w:jc w:val="both"/>
        <w:rPr>
          <w:rFonts w:ascii="PT Sans" w:hAnsi="PT Sans" w:cs="Arial"/>
          <w:color w:val="000000"/>
          <w:szCs w:val="22"/>
        </w:rPr>
      </w:pPr>
    </w:p>
    <w:p w:rsidR="00AB42BA" w:rsidRPr="0069075C" w:rsidRDefault="00AB42BA" w:rsidP="00AB42BA">
      <w:pPr>
        <w:spacing w:line="320" w:lineRule="exact"/>
        <w:jc w:val="both"/>
        <w:rPr>
          <w:rFonts w:ascii="PT Sans" w:hAnsi="PT Sans" w:cs="Arial"/>
          <w:szCs w:val="22"/>
        </w:rPr>
      </w:pPr>
      <w:r w:rsidRPr="0069075C">
        <w:rPr>
          <w:rFonts w:ascii="PT Sans" w:hAnsi="PT Sans" w:cs="Arial"/>
          <w:szCs w:val="22"/>
        </w:rPr>
        <w:t>Si rammenta che, per entrambi i tributi, l'imposta è dovuta per anni solari proporzionalmente alla quota di possesso e ai mesi dell'anno nei quali si è protratto tale possesso (a tal fine, il mese durante il quale il possesso si è protratto per almeno quindici giorni è computato per intero).</w:t>
      </w:r>
    </w:p>
    <w:p w:rsidR="00AB42BA" w:rsidRPr="0069075C" w:rsidRDefault="00AB42BA" w:rsidP="00AB42BA">
      <w:pPr>
        <w:spacing w:line="320" w:lineRule="exact"/>
        <w:jc w:val="both"/>
        <w:rPr>
          <w:rFonts w:ascii="PT Sans" w:hAnsi="PT Sans" w:cs="Arial"/>
          <w:szCs w:val="22"/>
        </w:rPr>
      </w:pPr>
    </w:p>
    <w:p w:rsidR="00AB42BA" w:rsidRPr="0069075C" w:rsidRDefault="00AB42BA" w:rsidP="00AB42BA">
      <w:pPr>
        <w:pStyle w:val="paragrafo"/>
        <w:spacing w:line="320" w:lineRule="exact"/>
        <w:rPr>
          <w:rFonts w:ascii="PT Sans" w:hAnsi="PT Sans"/>
          <w:b w:val="0"/>
          <w:color w:val="006EB7"/>
        </w:rPr>
      </w:pPr>
      <w:r w:rsidRPr="0069075C">
        <w:rPr>
          <w:rFonts w:ascii="PT Sans" w:hAnsi="PT Sans"/>
          <w:color w:val="006EB7"/>
        </w:rPr>
        <w:t>Versamenti</w:t>
      </w:r>
    </w:p>
    <w:p w:rsidR="00AB42BA" w:rsidRPr="0069075C" w:rsidRDefault="00AB42BA" w:rsidP="00AB42BA">
      <w:pPr>
        <w:spacing w:line="320" w:lineRule="exact"/>
        <w:jc w:val="both"/>
        <w:rPr>
          <w:rFonts w:ascii="PT Sans" w:hAnsi="PT Sans" w:cs="Arial"/>
          <w:szCs w:val="22"/>
        </w:rPr>
      </w:pPr>
      <w:r w:rsidRPr="0069075C">
        <w:rPr>
          <w:rFonts w:ascii="PT Sans" w:hAnsi="PT Sans" w:cs="Arial"/>
          <w:szCs w:val="22"/>
        </w:rPr>
        <w:t>Imu e Tasi vengono versate integralmente a favore del Comune, mentre nei confronti dell’Erario sarà riservata la sola Imu dei fabbricati di categoria catastale D, applicando l’aliquota d’imposta dello 0,76% (il Comune, eventualmente, può stabilire a suo favore, una maggiorazione sino allo 0,3%).</w:t>
      </w:r>
    </w:p>
    <w:p w:rsidR="00AB42BA" w:rsidRPr="0069075C" w:rsidRDefault="00AB42BA" w:rsidP="00AB42BA">
      <w:pPr>
        <w:spacing w:line="320" w:lineRule="exact"/>
        <w:jc w:val="both"/>
        <w:rPr>
          <w:rFonts w:ascii="PT Sans" w:hAnsi="PT Sans" w:cs="Arial"/>
          <w:szCs w:val="22"/>
        </w:rPr>
      </w:pPr>
      <w:r w:rsidRPr="0069075C">
        <w:rPr>
          <w:rFonts w:ascii="PT Sans" w:hAnsi="PT Sans" w:cs="Arial"/>
          <w:szCs w:val="22"/>
        </w:rPr>
        <w:t>L’acconto risulta dovuto sulla base di aliquote e detrazioni deliberate per l’anno precedente (quindi quelle del 2017), mentre il conguaglio a saldo sarà determinato sulla base delle aliquote 2018, se approvate entro il termine del 28 ottobre (in caso contrario anche il saldo sarà calcolato sulla base delle aliquote 2017).</w:t>
      </w:r>
    </w:p>
    <w:p w:rsidR="00AB42BA" w:rsidRPr="0069075C" w:rsidRDefault="00AB42BA" w:rsidP="00AB42BA">
      <w:pPr>
        <w:spacing w:line="120" w:lineRule="exact"/>
        <w:jc w:val="both"/>
        <w:rPr>
          <w:rFonts w:ascii="PT Sans" w:hAnsi="PT Sans" w:cs="Arial"/>
          <w:szCs w:val="22"/>
        </w:rPr>
      </w:pPr>
    </w:p>
    <w:tbl>
      <w:tblPr>
        <w:tblW w:w="0" w:type="auto"/>
        <w:tblInd w:w="150" w:type="dxa"/>
        <w:tblBorders>
          <w:top w:val="single" w:sz="4" w:space="0" w:color="006EB7"/>
          <w:left w:val="single" w:sz="4" w:space="0" w:color="006EB7"/>
          <w:bottom w:val="single" w:sz="4" w:space="0" w:color="006EB7"/>
          <w:right w:val="single" w:sz="4" w:space="0" w:color="006EB7"/>
          <w:insideH w:val="single" w:sz="4" w:space="0" w:color="006EB7"/>
          <w:insideV w:val="single" w:sz="4" w:space="0" w:color="006EB7"/>
        </w:tblBorders>
        <w:tblLook w:val="01E0" w:firstRow="1" w:lastRow="1" w:firstColumn="1" w:lastColumn="1" w:noHBand="0" w:noVBand="0"/>
      </w:tblPr>
      <w:tblGrid>
        <w:gridCol w:w="2368"/>
        <w:gridCol w:w="3544"/>
        <w:gridCol w:w="3566"/>
      </w:tblGrid>
      <w:tr w:rsidR="00AB42BA" w:rsidRPr="0069075C" w:rsidTr="006D664E">
        <w:tc>
          <w:tcPr>
            <w:tcW w:w="2368" w:type="dxa"/>
            <w:vAlign w:val="center"/>
          </w:tcPr>
          <w:p w:rsidR="00AB42BA" w:rsidRPr="0069075C" w:rsidRDefault="00AB42BA" w:rsidP="006D664E">
            <w:pPr>
              <w:spacing w:line="320" w:lineRule="exact"/>
              <w:jc w:val="both"/>
              <w:rPr>
                <w:rFonts w:ascii="PT Sans" w:hAnsi="PT Sans" w:cs="Arial"/>
                <w:sz w:val="20"/>
                <w:szCs w:val="22"/>
              </w:rPr>
            </w:pPr>
          </w:p>
        </w:tc>
        <w:tc>
          <w:tcPr>
            <w:tcW w:w="3544" w:type="dxa"/>
            <w:shd w:val="clear" w:color="auto" w:fill="B2D3E9"/>
            <w:vAlign w:val="center"/>
          </w:tcPr>
          <w:p w:rsidR="00AB42BA" w:rsidRPr="0069075C" w:rsidRDefault="00AB42BA" w:rsidP="006D664E">
            <w:pPr>
              <w:spacing w:line="320" w:lineRule="exact"/>
              <w:jc w:val="center"/>
              <w:rPr>
                <w:rFonts w:ascii="PT Sans" w:hAnsi="PT Sans" w:cs="Arial"/>
                <w:b/>
                <w:sz w:val="20"/>
                <w:szCs w:val="22"/>
              </w:rPr>
            </w:pPr>
            <w:r>
              <w:rPr>
                <w:rFonts w:ascii="PT Sans" w:hAnsi="PT Sans" w:cs="Arial"/>
                <w:b/>
                <w:sz w:val="20"/>
                <w:szCs w:val="22"/>
              </w:rPr>
              <w:t>S</w:t>
            </w:r>
            <w:r w:rsidRPr="0069075C">
              <w:rPr>
                <w:rFonts w:ascii="PT Sans" w:hAnsi="PT Sans" w:cs="Arial"/>
                <w:b/>
                <w:sz w:val="20"/>
                <w:szCs w:val="22"/>
              </w:rPr>
              <w:t>cadenza</w:t>
            </w:r>
          </w:p>
        </w:tc>
        <w:tc>
          <w:tcPr>
            <w:tcW w:w="3566" w:type="dxa"/>
            <w:shd w:val="clear" w:color="auto" w:fill="B2D3E9"/>
            <w:vAlign w:val="center"/>
          </w:tcPr>
          <w:p w:rsidR="00AB42BA" w:rsidRPr="0069075C" w:rsidRDefault="00AB42BA" w:rsidP="006D664E">
            <w:pPr>
              <w:spacing w:line="320" w:lineRule="exact"/>
              <w:jc w:val="center"/>
              <w:rPr>
                <w:rFonts w:ascii="PT Sans" w:hAnsi="PT Sans" w:cs="Arial"/>
                <w:b/>
                <w:sz w:val="20"/>
                <w:szCs w:val="22"/>
              </w:rPr>
            </w:pPr>
            <w:r w:rsidRPr="0069075C">
              <w:rPr>
                <w:rFonts w:ascii="PT Sans" w:hAnsi="PT Sans" w:cs="Arial"/>
                <w:b/>
                <w:sz w:val="20"/>
                <w:szCs w:val="22"/>
              </w:rPr>
              <w:t>Parametri di calcolo</w:t>
            </w:r>
          </w:p>
        </w:tc>
      </w:tr>
      <w:tr w:rsidR="00AB42BA" w:rsidRPr="0069075C" w:rsidTr="006D664E">
        <w:tc>
          <w:tcPr>
            <w:tcW w:w="2368" w:type="dxa"/>
          </w:tcPr>
          <w:p w:rsidR="00AB42BA" w:rsidRPr="0069075C" w:rsidRDefault="00AB42BA" w:rsidP="006D664E">
            <w:pPr>
              <w:spacing w:line="320" w:lineRule="exact"/>
              <w:jc w:val="both"/>
              <w:rPr>
                <w:rFonts w:ascii="PT Sans" w:hAnsi="PT Sans" w:cs="Tahoma"/>
                <w:sz w:val="20"/>
                <w:szCs w:val="22"/>
              </w:rPr>
            </w:pPr>
            <w:r w:rsidRPr="0069075C">
              <w:rPr>
                <w:rFonts w:ascii="PT Sans" w:hAnsi="PT Sans" w:cs="Tahoma"/>
                <w:sz w:val="20"/>
                <w:szCs w:val="22"/>
              </w:rPr>
              <w:t>Acconto 2018 Imu</w:t>
            </w:r>
          </w:p>
        </w:tc>
        <w:tc>
          <w:tcPr>
            <w:tcW w:w="3544" w:type="dxa"/>
          </w:tcPr>
          <w:p w:rsidR="00AB42BA" w:rsidRPr="0069075C" w:rsidRDefault="00AB42BA" w:rsidP="006D664E">
            <w:pPr>
              <w:spacing w:line="320" w:lineRule="exact"/>
              <w:jc w:val="center"/>
              <w:rPr>
                <w:rFonts w:ascii="PT Sans" w:hAnsi="PT Sans" w:cs="Tahoma"/>
                <w:b/>
                <w:sz w:val="20"/>
                <w:szCs w:val="22"/>
              </w:rPr>
            </w:pPr>
            <w:r w:rsidRPr="0069075C">
              <w:rPr>
                <w:rFonts w:ascii="PT Sans" w:hAnsi="PT Sans" w:cs="Tahoma"/>
                <w:b/>
                <w:sz w:val="20"/>
                <w:szCs w:val="22"/>
              </w:rPr>
              <w:t>18 giugno 2018</w:t>
            </w:r>
          </w:p>
          <w:p w:rsidR="00AB42BA" w:rsidRPr="0069075C" w:rsidRDefault="00AB42BA" w:rsidP="006D664E">
            <w:pPr>
              <w:spacing w:line="320" w:lineRule="exact"/>
              <w:jc w:val="center"/>
              <w:rPr>
                <w:rFonts w:ascii="PT Sans" w:hAnsi="PT Sans" w:cs="Tahoma"/>
                <w:b/>
                <w:sz w:val="20"/>
                <w:szCs w:val="22"/>
              </w:rPr>
            </w:pPr>
            <w:r w:rsidRPr="0069075C">
              <w:rPr>
                <w:rFonts w:ascii="PT Sans" w:hAnsi="PT Sans" w:cs="Tahoma"/>
                <w:sz w:val="20"/>
                <w:szCs w:val="22"/>
              </w:rPr>
              <w:lastRenderedPageBreak/>
              <w:t>(il 16 cade di sabato)</w:t>
            </w:r>
          </w:p>
        </w:tc>
        <w:tc>
          <w:tcPr>
            <w:tcW w:w="3566" w:type="dxa"/>
          </w:tcPr>
          <w:p w:rsidR="00AB42BA" w:rsidRPr="0069075C" w:rsidRDefault="00AB42BA" w:rsidP="006D664E">
            <w:pPr>
              <w:spacing w:line="320" w:lineRule="exact"/>
              <w:jc w:val="center"/>
              <w:rPr>
                <w:rFonts w:ascii="PT Sans" w:hAnsi="PT Sans" w:cs="Tahoma"/>
                <w:b/>
                <w:sz w:val="20"/>
                <w:szCs w:val="22"/>
              </w:rPr>
            </w:pPr>
            <w:r w:rsidRPr="0069075C">
              <w:rPr>
                <w:rFonts w:ascii="PT Sans" w:hAnsi="PT Sans" w:cs="Tahoma"/>
                <w:b/>
                <w:sz w:val="20"/>
                <w:szCs w:val="22"/>
              </w:rPr>
              <w:lastRenderedPageBreak/>
              <w:t>Aliquote 2017</w:t>
            </w:r>
          </w:p>
        </w:tc>
      </w:tr>
      <w:tr w:rsidR="00AB42BA" w:rsidRPr="0069075C" w:rsidTr="006D664E">
        <w:tc>
          <w:tcPr>
            <w:tcW w:w="2368" w:type="dxa"/>
          </w:tcPr>
          <w:p w:rsidR="00AB42BA" w:rsidRPr="0069075C" w:rsidRDefault="00AB42BA" w:rsidP="006D664E">
            <w:pPr>
              <w:spacing w:line="320" w:lineRule="exact"/>
              <w:jc w:val="both"/>
              <w:rPr>
                <w:rFonts w:ascii="PT Sans" w:hAnsi="PT Sans" w:cs="Tahoma"/>
                <w:sz w:val="20"/>
                <w:szCs w:val="22"/>
              </w:rPr>
            </w:pPr>
            <w:r w:rsidRPr="0069075C">
              <w:rPr>
                <w:rFonts w:ascii="PT Sans" w:hAnsi="PT Sans" w:cs="Tahoma"/>
                <w:sz w:val="20"/>
                <w:szCs w:val="22"/>
              </w:rPr>
              <w:lastRenderedPageBreak/>
              <w:t>Saldo 2018 Imu</w:t>
            </w:r>
          </w:p>
        </w:tc>
        <w:tc>
          <w:tcPr>
            <w:tcW w:w="3544" w:type="dxa"/>
          </w:tcPr>
          <w:p w:rsidR="00AB42BA" w:rsidRPr="0069075C" w:rsidRDefault="00AB42BA" w:rsidP="006D664E">
            <w:pPr>
              <w:spacing w:line="320" w:lineRule="exact"/>
              <w:jc w:val="center"/>
              <w:rPr>
                <w:rFonts w:ascii="PT Sans" w:hAnsi="PT Sans" w:cs="Tahoma"/>
                <w:b/>
                <w:sz w:val="20"/>
                <w:szCs w:val="22"/>
              </w:rPr>
            </w:pPr>
            <w:r w:rsidRPr="0069075C">
              <w:rPr>
                <w:rFonts w:ascii="PT Sans" w:hAnsi="PT Sans" w:cs="Tahoma"/>
                <w:b/>
                <w:sz w:val="20"/>
                <w:szCs w:val="22"/>
              </w:rPr>
              <w:t>17 dicembre 2018</w:t>
            </w:r>
          </w:p>
          <w:p w:rsidR="00AB42BA" w:rsidRPr="0069075C" w:rsidRDefault="00AB42BA" w:rsidP="006D664E">
            <w:pPr>
              <w:spacing w:line="320" w:lineRule="exact"/>
              <w:jc w:val="center"/>
              <w:rPr>
                <w:rFonts w:ascii="PT Sans" w:hAnsi="PT Sans" w:cs="Tahoma"/>
                <w:sz w:val="20"/>
                <w:szCs w:val="22"/>
              </w:rPr>
            </w:pPr>
            <w:r w:rsidRPr="0069075C">
              <w:rPr>
                <w:rFonts w:ascii="PT Sans" w:hAnsi="PT Sans" w:cs="Tahoma"/>
                <w:sz w:val="20"/>
                <w:szCs w:val="22"/>
              </w:rPr>
              <w:t>(il 16 cade di domenica)</w:t>
            </w:r>
          </w:p>
        </w:tc>
        <w:tc>
          <w:tcPr>
            <w:tcW w:w="3566" w:type="dxa"/>
          </w:tcPr>
          <w:p w:rsidR="00AB42BA" w:rsidRPr="0069075C" w:rsidRDefault="00AB42BA" w:rsidP="006D664E">
            <w:pPr>
              <w:spacing w:line="320" w:lineRule="exact"/>
              <w:jc w:val="center"/>
              <w:rPr>
                <w:rFonts w:ascii="PT Sans" w:hAnsi="PT Sans" w:cs="Tahoma"/>
                <w:b/>
                <w:sz w:val="20"/>
                <w:szCs w:val="22"/>
              </w:rPr>
            </w:pPr>
            <w:r w:rsidRPr="0069075C">
              <w:rPr>
                <w:rFonts w:ascii="PT Sans" w:hAnsi="PT Sans" w:cs="Tahoma"/>
                <w:b/>
                <w:sz w:val="20"/>
                <w:szCs w:val="22"/>
              </w:rPr>
              <w:t>Aliquote 2018</w:t>
            </w:r>
          </w:p>
          <w:p w:rsidR="00AB42BA" w:rsidRPr="0069075C" w:rsidRDefault="00AB42BA" w:rsidP="006D664E">
            <w:pPr>
              <w:spacing w:line="320" w:lineRule="exact"/>
              <w:jc w:val="center"/>
              <w:rPr>
                <w:rFonts w:ascii="PT Sans" w:hAnsi="PT Sans" w:cs="Tahoma"/>
                <w:b/>
                <w:sz w:val="20"/>
                <w:szCs w:val="22"/>
              </w:rPr>
            </w:pPr>
            <w:r w:rsidRPr="0069075C">
              <w:rPr>
                <w:rFonts w:ascii="PT Sans" w:hAnsi="PT Sans" w:cs="Tahoma"/>
                <w:sz w:val="20"/>
                <w:szCs w:val="22"/>
              </w:rPr>
              <w:t>(</w:t>
            </w:r>
            <w:r w:rsidRPr="0069075C">
              <w:rPr>
                <w:rFonts w:ascii="PT Sans" w:hAnsi="PT Sans" w:cs="Tahoma"/>
                <w:i/>
                <w:sz w:val="20"/>
                <w:szCs w:val="22"/>
              </w:rPr>
              <w:t>pubblicate entro 28</w:t>
            </w:r>
            <w:r>
              <w:rPr>
                <w:rFonts w:ascii="PT Sans" w:hAnsi="PT Sans" w:cs="Tahoma"/>
                <w:i/>
                <w:sz w:val="20"/>
                <w:szCs w:val="22"/>
              </w:rPr>
              <w:t xml:space="preserve"> ottobre</w:t>
            </w:r>
            <w:r w:rsidRPr="0069075C">
              <w:rPr>
                <w:rFonts w:ascii="PT Sans" w:hAnsi="PT Sans" w:cs="Tahoma"/>
                <w:i/>
                <w:sz w:val="20"/>
                <w:szCs w:val="22"/>
              </w:rPr>
              <w:t>)</w:t>
            </w:r>
          </w:p>
        </w:tc>
      </w:tr>
    </w:tbl>
    <w:p w:rsidR="00AB42BA" w:rsidRPr="0069075C" w:rsidRDefault="00AB42BA" w:rsidP="00AB42BA">
      <w:pPr>
        <w:spacing w:before="120" w:line="320" w:lineRule="exact"/>
        <w:jc w:val="both"/>
        <w:rPr>
          <w:rFonts w:ascii="PT Sans" w:hAnsi="PT Sans" w:cs="Arial"/>
          <w:szCs w:val="22"/>
        </w:rPr>
      </w:pPr>
      <w:r w:rsidRPr="0069075C">
        <w:rPr>
          <w:rFonts w:ascii="PT Sans" w:hAnsi="PT Sans" w:cs="Arial"/>
          <w:szCs w:val="22"/>
        </w:rPr>
        <w:t>È consentito il versamento in unica soluzione entro il 18 giugno (nel qual caso si terrà già da subito conto delle aliquote deliberate per l’anno in corso).</w:t>
      </w:r>
    </w:p>
    <w:p w:rsidR="00AB42BA" w:rsidRPr="0069075C" w:rsidRDefault="00AB42BA" w:rsidP="00AB42BA">
      <w:pPr>
        <w:spacing w:line="320" w:lineRule="exact"/>
        <w:jc w:val="both"/>
        <w:rPr>
          <w:rFonts w:ascii="PT Sans" w:hAnsi="PT Sans" w:cs="Arial"/>
          <w:szCs w:val="22"/>
        </w:rPr>
      </w:pPr>
      <w:r w:rsidRPr="0069075C">
        <w:rPr>
          <w:rFonts w:ascii="PT Sans" w:hAnsi="PT Sans" w:cs="Arial"/>
          <w:szCs w:val="22"/>
        </w:rPr>
        <w:t>Il versamento può essere effettuato tramite apposito bollettino, ovvero tramite il modello F24, con utilizzo degli specifici codici tributo:</w:t>
      </w:r>
    </w:p>
    <w:p w:rsidR="00AB42BA" w:rsidRDefault="00AB42BA" w:rsidP="00AB42BA">
      <w:pPr>
        <w:spacing w:line="320" w:lineRule="exact"/>
        <w:jc w:val="both"/>
        <w:rPr>
          <w:rFonts w:ascii="PT Sans" w:hAnsi="PT Sans" w:cs="Arial"/>
          <w:szCs w:val="22"/>
        </w:rPr>
      </w:pPr>
    </w:p>
    <w:p w:rsidR="00AB42BA" w:rsidRPr="0069075C" w:rsidRDefault="00AB42BA" w:rsidP="00AB42BA">
      <w:pPr>
        <w:spacing w:line="320" w:lineRule="exact"/>
        <w:jc w:val="both"/>
        <w:rPr>
          <w:rFonts w:ascii="PT Sans" w:hAnsi="PT Sans" w:cs="Arial"/>
          <w:szCs w:val="22"/>
        </w:rPr>
      </w:pPr>
    </w:p>
    <w:tbl>
      <w:tblPr>
        <w:tblW w:w="0" w:type="auto"/>
        <w:tblInd w:w="108" w:type="dxa"/>
        <w:tblBorders>
          <w:top w:val="single" w:sz="4" w:space="0" w:color="006EB7"/>
          <w:left w:val="single" w:sz="4" w:space="0" w:color="006EB7"/>
          <w:bottom w:val="single" w:sz="4" w:space="0" w:color="006EB7"/>
          <w:right w:val="single" w:sz="4" w:space="0" w:color="006EB7"/>
          <w:insideH w:val="single" w:sz="4" w:space="0" w:color="006EB7"/>
          <w:insideV w:val="single" w:sz="4" w:space="0" w:color="006EB7"/>
        </w:tblBorders>
        <w:tblLook w:val="01E0" w:firstRow="1" w:lastRow="1" w:firstColumn="1" w:lastColumn="1" w:noHBand="0" w:noVBand="0"/>
      </w:tblPr>
      <w:tblGrid>
        <w:gridCol w:w="2127"/>
        <w:gridCol w:w="4353"/>
        <w:gridCol w:w="3179"/>
      </w:tblGrid>
      <w:tr w:rsidR="00AB42BA" w:rsidRPr="0069075C" w:rsidTr="006D664E">
        <w:tc>
          <w:tcPr>
            <w:tcW w:w="2127" w:type="dxa"/>
            <w:shd w:val="clear" w:color="auto" w:fill="B2D3E9"/>
          </w:tcPr>
          <w:p w:rsidR="00AB42BA" w:rsidRPr="0069075C" w:rsidRDefault="00AB42BA" w:rsidP="006D664E">
            <w:pPr>
              <w:spacing w:line="300" w:lineRule="exact"/>
              <w:jc w:val="center"/>
              <w:rPr>
                <w:rFonts w:ascii="PT Sans" w:hAnsi="PT Sans" w:cs="Arial"/>
                <w:b/>
                <w:sz w:val="20"/>
                <w:szCs w:val="22"/>
              </w:rPr>
            </w:pPr>
            <w:r w:rsidRPr="0069075C">
              <w:rPr>
                <w:rFonts w:ascii="PT Sans" w:hAnsi="PT Sans" w:cs="Arial"/>
                <w:b/>
                <w:sz w:val="20"/>
                <w:szCs w:val="22"/>
              </w:rPr>
              <w:t>Codice tributo Imu</w:t>
            </w:r>
          </w:p>
        </w:tc>
        <w:tc>
          <w:tcPr>
            <w:tcW w:w="4353" w:type="dxa"/>
            <w:shd w:val="clear" w:color="auto" w:fill="B2D3E9"/>
          </w:tcPr>
          <w:p w:rsidR="00AB42BA" w:rsidRPr="0069075C" w:rsidRDefault="00AB42BA" w:rsidP="006D664E">
            <w:pPr>
              <w:spacing w:line="300" w:lineRule="exact"/>
              <w:jc w:val="center"/>
              <w:rPr>
                <w:rFonts w:ascii="PT Sans" w:hAnsi="PT Sans" w:cs="Arial"/>
                <w:b/>
                <w:sz w:val="20"/>
                <w:szCs w:val="22"/>
              </w:rPr>
            </w:pPr>
            <w:r w:rsidRPr="0069075C">
              <w:rPr>
                <w:rFonts w:ascii="PT Sans" w:hAnsi="PT Sans" w:cs="Arial"/>
                <w:b/>
                <w:sz w:val="20"/>
                <w:szCs w:val="22"/>
              </w:rPr>
              <w:t>Immobile</w:t>
            </w:r>
          </w:p>
        </w:tc>
        <w:tc>
          <w:tcPr>
            <w:tcW w:w="3179" w:type="dxa"/>
            <w:shd w:val="clear" w:color="auto" w:fill="B2D3E9"/>
          </w:tcPr>
          <w:p w:rsidR="00AB42BA" w:rsidRPr="0069075C" w:rsidRDefault="00AB42BA" w:rsidP="006D664E">
            <w:pPr>
              <w:spacing w:line="300" w:lineRule="exact"/>
              <w:jc w:val="center"/>
              <w:rPr>
                <w:rFonts w:ascii="PT Sans" w:hAnsi="PT Sans" w:cs="Arial"/>
                <w:b/>
                <w:sz w:val="20"/>
                <w:szCs w:val="22"/>
              </w:rPr>
            </w:pPr>
            <w:r w:rsidRPr="0069075C">
              <w:rPr>
                <w:rFonts w:ascii="PT Sans" w:hAnsi="PT Sans" w:cs="Arial"/>
                <w:b/>
                <w:sz w:val="20"/>
                <w:szCs w:val="22"/>
              </w:rPr>
              <w:t>Destinatario versamento</w:t>
            </w:r>
          </w:p>
        </w:tc>
      </w:tr>
      <w:tr w:rsidR="00AB42BA" w:rsidRPr="0069075C" w:rsidTr="006D664E">
        <w:tc>
          <w:tcPr>
            <w:tcW w:w="2127" w:type="dxa"/>
          </w:tcPr>
          <w:p w:rsidR="00AB42BA" w:rsidRPr="0069075C" w:rsidRDefault="00AB42BA" w:rsidP="006D664E">
            <w:pPr>
              <w:spacing w:line="300" w:lineRule="exact"/>
              <w:jc w:val="center"/>
              <w:rPr>
                <w:rFonts w:ascii="PT Sans" w:hAnsi="PT Sans" w:cs="Arial"/>
                <w:b/>
                <w:sz w:val="20"/>
                <w:szCs w:val="22"/>
              </w:rPr>
            </w:pPr>
            <w:r w:rsidRPr="0069075C">
              <w:rPr>
                <w:rFonts w:ascii="PT Sans" w:hAnsi="PT Sans" w:cs="Arial"/>
                <w:b/>
                <w:sz w:val="20"/>
                <w:szCs w:val="22"/>
              </w:rPr>
              <w:t>3912</w:t>
            </w:r>
          </w:p>
        </w:tc>
        <w:tc>
          <w:tcPr>
            <w:tcW w:w="4353" w:type="dxa"/>
          </w:tcPr>
          <w:p w:rsidR="00AB42BA" w:rsidRPr="0069075C" w:rsidRDefault="00AB42BA" w:rsidP="006D664E">
            <w:pPr>
              <w:spacing w:line="300" w:lineRule="exact"/>
              <w:jc w:val="both"/>
              <w:rPr>
                <w:rFonts w:ascii="PT Sans" w:hAnsi="PT Sans" w:cs="Arial"/>
                <w:sz w:val="20"/>
                <w:szCs w:val="22"/>
              </w:rPr>
            </w:pPr>
            <w:r w:rsidRPr="0069075C">
              <w:rPr>
                <w:rFonts w:ascii="PT Sans" w:hAnsi="PT Sans" w:cs="Arial"/>
                <w:sz w:val="20"/>
                <w:szCs w:val="22"/>
              </w:rPr>
              <w:t>Abitazione principale e pertinenze</w:t>
            </w:r>
          </w:p>
        </w:tc>
        <w:tc>
          <w:tcPr>
            <w:tcW w:w="3179" w:type="dxa"/>
          </w:tcPr>
          <w:p w:rsidR="00AB42BA" w:rsidRPr="0069075C" w:rsidRDefault="00AB42BA" w:rsidP="006D664E">
            <w:pPr>
              <w:spacing w:line="300" w:lineRule="exact"/>
              <w:rPr>
                <w:rFonts w:ascii="PT Sans" w:hAnsi="PT Sans" w:cs="Arial"/>
                <w:sz w:val="20"/>
                <w:szCs w:val="22"/>
              </w:rPr>
            </w:pPr>
            <w:r w:rsidRPr="0069075C">
              <w:rPr>
                <w:rFonts w:ascii="PT Sans" w:hAnsi="PT Sans" w:cs="Arial"/>
                <w:sz w:val="20"/>
                <w:szCs w:val="22"/>
              </w:rPr>
              <w:t>Comune</w:t>
            </w:r>
          </w:p>
        </w:tc>
      </w:tr>
      <w:tr w:rsidR="00AB42BA" w:rsidRPr="0069075C" w:rsidTr="006D664E">
        <w:tc>
          <w:tcPr>
            <w:tcW w:w="2127" w:type="dxa"/>
          </w:tcPr>
          <w:p w:rsidR="00AB42BA" w:rsidRPr="0069075C" w:rsidRDefault="00AB42BA" w:rsidP="006D664E">
            <w:pPr>
              <w:spacing w:line="300" w:lineRule="exact"/>
              <w:jc w:val="center"/>
              <w:rPr>
                <w:rFonts w:ascii="PT Sans" w:hAnsi="PT Sans" w:cs="Arial"/>
                <w:b/>
                <w:sz w:val="20"/>
                <w:szCs w:val="22"/>
              </w:rPr>
            </w:pPr>
            <w:r w:rsidRPr="0069075C">
              <w:rPr>
                <w:rFonts w:ascii="PT Sans" w:hAnsi="PT Sans" w:cs="Arial"/>
                <w:b/>
                <w:sz w:val="20"/>
                <w:szCs w:val="22"/>
              </w:rPr>
              <w:t>3914</w:t>
            </w:r>
          </w:p>
        </w:tc>
        <w:tc>
          <w:tcPr>
            <w:tcW w:w="4353" w:type="dxa"/>
          </w:tcPr>
          <w:p w:rsidR="00AB42BA" w:rsidRPr="0069075C" w:rsidRDefault="00AB42BA" w:rsidP="006D664E">
            <w:pPr>
              <w:spacing w:line="300" w:lineRule="exact"/>
              <w:jc w:val="both"/>
              <w:rPr>
                <w:rFonts w:ascii="PT Sans" w:hAnsi="PT Sans" w:cs="Arial"/>
                <w:sz w:val="20"/>
                <w:szCs w:val="22"/>
              </w:rPr>
            </w:pPr>
            <w:r w:rsidRPr="0069075C">
              <w:rPr>
                <w:rFonts w:ascii="PT Sans" w:hAnsi="PT Sans" w:cs="Arial"/>
                <w:sz w:val="20"/>
                <w:szCs w:val="22"/>
              </w:rPr>
              <w:t>Terreni</w:t>
            </w:r>
          </w:p>
        </w:tc>
        <w:tc>
          <w:tcPr>
            <w:tcW w:w="3179" w:type="dxa"/>
          </w:tcPr>
          <w:p w:rsidR="00AB42BA" w:rsidRPr="0069075C" w:rsidRDefault="00AB42BA" w:rsidP="006D664E">
            <w:pPr>
              <w:spacing w:line="300" w:lineRule="exact"/>
              <w:rPr>
                <w:rFonts w:ascii="PT Sans" w:hAnsi="PT Sans" w:cs="Arial"/>
                <w:sz w:val="20"/>
                <w:szCs w:val="22"/>
              </w:rPr>
            </w:pPr>
            <w:r w:rsidRPr="0069075C">
              <w:rPr>
                <w:rFonts w:ascii="PT Sans" w:hAnsi="PT Sans" w:cs="Arial"/>
                <w:sz w:val="20"/>
                <w:szCs w:val="22"/>
              </w:rPr>
              <w:t>Comune</w:t>
            </w:r>
          </w:p>
        </w:tc>
      </w:tr>
      <w:tr w:rsidR="00AB42BA" w:rsidRPr="0069075C" w:rsidTr="006D664E">
        <w:tc>
          <w:tcPr>
            <w:tcW w:w="2127" w:type="dxa"/>
          </w:tcPr>
          <w:p w:rsidR="00AB42BA" w:rsidRPr="0069075C" w:rsidRDefault="00AB42BA" w:rsidP="006D664E">
            <w:pPr>
              <w:spacing w:line="300" w:lineRule="exact"/>
              <w:jc w:val="center"/>
              <w:rPr>
                <w:rFonts w:ascii="PT Sans" w:hAnsi="PT Sans" w:cs="Arial"/>
                <w:b/>
                <w:sz w:val="20"/>
                <w:szCs w:val="22"/>
              </w:rPr>
            </w:pPr>
            <w:r w:rsidRPr="0069075C">
              <w:rPr>
                <w:rFonts w:ascii="PT Sans" w:hAnsi="PT Sans" w:cs="Arial"/>
                <w:b/>
                <w:sz w:val="20"/>
                <w:szCs w:val="22"/>
              </w:rPr>
              <w:t>3916</w:t>
            </w:r>
          </w:p>
        </w:tc>
        <w:tc>
          <w:tcPr>
            <w:tcW w:w="4353" w:type="dxa"/>
          </w:tcPr>
          <w:p w:rsidR="00AB42BA" w:rsidRPr="0069075C" w:rsidRDefault="00AB42BA" w:rsidP="006D664E">
            <w:pPr>
              <w:spacing w:line="300" w:lineRule="exact"/>
              <w:jc w:val="both"/>
              <w:rPr>
                <w:rFonts w:ascii="PT Sans" w:hAnsi="PT Sans" w:cs="Arial"/>
                <w:sz w:val="20"/>
                <w:szCs w:val="22"/>
              </w:rPr>
            </w:pPr>
            <w:r w:rsidRPr="0069075C">
              <w:rPr>
                <w:rFonts w:ascii="PT Sans" w:hAnsi="PT Sans" w:cs="Arial"/>
                <w:sz w:val="20"/>
                <w:szCs w:val="22"/>
              </w:rPr>
              <w:t>Aree fabbricabili</w:t>
            </w:r>
          </w:p>
        </w:tc>
        <w:tc>
          <w:tcPr>
            <w:tcW w:w="3179" w:type="dxa"/>
          </w:tcPr>
          <w:p w:rsidR="00AB42BA" w:rsidRPr="0069075C" w:rsidRDefault="00AB42BA" w:rsidP="006D664E">
            <w:pPr>
              <w:spacing w:line="300" w:lineRule="exact"/>
              <w:rPr>
                <w:rFonts w:ascii="PT Sans" w:hAnsi="PT Sans" w:cs="Arial"/>
                <w:sz w:val="20"/>
                <w:szCs w:val="22"/>
              </w:rPr>
            </w:pPr>
            <w:r w:rsidRPr="0069075C">
              <w:rPr>
                <w:rFonts w:ascii="PT Sans" w:hAnsi="PT Sans" w:cs="Arial"/>
                <w:sz w:val="20"/>
                <w:szCs w:val="22"/>
              </w:rPr>
              <w:t>Comune</w:t>
            </w:r>
          </w:p>
        </w:tc>
      </w:tr>
      <w:tr w:rsidR="00AB42BA" w:rsidRPr="0069075C" w:rsidTr="006D664E">
        <w:tc>
          <w:tcPr>
            <w:tcW w:w="2127" w:type="dxa"/>
          </w:tcPr>
          <w:p w:rsidR="00AB42BA" w:rsidRPr="0069075C" w:rsidRDefault="00AB42BA" w:rsidP="006D664E">
            <w:pPr>
              <w:spacing w:line="300" w:lineRule="exact"/>
              <w:jc w:val="center"/>
              <w:rPr>
                <w:rFonts w:ascii="PT Sans" w:hAnsi="PT Sans" w:cs="Arial"/>
                <w:b/>
                <w:sz w:val="20"/>
                <w:szCs w:val="22"/>
              </w:rPr>
            </w:pPr>
            <w:r w:rsidRPr="0069075C">
              <w:rPr>
                <w:rFonts w:ascii="PT Sans" w:hAnsi="PT Sans" w:cs="Arial"/>
                <w:b/>
                <w:sz w:val="20"/>
                <w:szCs w:val="22"/>
              </w:rPr>
              <w:t>3918</w:t>
            </w:r>
          </w:p>
        </w:tc>
        <w:tc>
          <w:tcPr>
            <w:tcW w:w="4353" w:type="dxa"/>
          </w:tcPr>
          <w:p w:rsidR="00AB42BA" w:rsidRPr="0069075C" w:rsidRDefault="00AB42BA" w:rsidP="006D664E">
            <w:pPr>
              <w:spacing w:line="300" w:lineRule="exact"/>
              <w:jc w:val="both"/>
              <w:rPr>
                <w:rFonts w:ascii="PT Sans" w:hAnsi="PT Sans" w:cs="Arial"/>
                <w:sz w:val="20"/>
                <w:szCs w:val="22"/>
              </w:rPr>
            </w:pPr>
            <w:r w:rsidRPr="0069075C">
              <w:rPr>
                <w:rFonts w:ascii="PT Sans" w:hAnsi="PT Sans" w:cs="Arial"/>
                <w:sz w:val="20"/>
                <w:szCs w:val="22"/>
              </w:rPr>
              <w:t>Altri fabbricati</w:t>
            </w:r>
          </w:p>
        </w:tc>
        <w:tc>
          <w:tcPr>
            <w:tcW w:w="3179" w:type="dxa"/>
          </w:tcPr>
          <w:p w:rsidR="00AB42BA" w:rsidRPr="0069075C" w:rsidRDefault="00AB42BA" w:rsidP="006D664E">
            <w:pPr>
              <w:spacing w:line="300" w:lineRule="exact"/>
              <w:rPr>
                <w:rFonts w:ascii="PT Sans" w:hAnsi="PT Sans" w:cs="Arial"/>
                <w:sz w:val="20"/>
                <w:szCs w:val="22"/>
              </w:rPr>
            </w:pPr>
            <w:r w:rsidRPr="0069075C">
              <w:rPr>
                <w:rFonts w:ascii="PT Sans" w:hAnsi="PT Sans" w:cs="Arial"/>
                <w:sz w:val="20"/>
                <w:szCs w:val="22"/>
              </w:rPr>
              <w:t>Comune</w:t>
            </w:r>
          </w:p>
        </w:tc>
      </w:tr>
      <w:tr w:rsidR="00AB42BA" w:rsidRPr="0069075C" w:rsidTr="006D664E">
        <w:tc>
          <w:tcPr>
            <w:tcW w:w="2127" w:type="dxa"/>
          </w:tcPr>
          <w:p w:rsidR="00AB42BA" w:rsidRPr="0069075C" w:rsidRDefault="00AB42BA" w:rsidP="006D664E">
            <w:pPr>
              <w:spacing w:line="300" w:lineRule="exact"/>
              <w:jc w:val="center"/>
              <w:rPr>
                <w:rFonts w:ascii="PT Sans" w:hAnsi="PT Sans" w:cs="Arial"/>
                <w:b/>
                <w:sz w:val="20"/>
                <w:szCs w:val="22"/>
              </w:rPr>
            </w:pPr>
            <w:r w:rsidRPr="0069075C">
              <w:rPr>
                <w:rFonts w:ascii="PT Sans" w:hAnsi="PT Sans" w:cs="Arial"/>
                <w:b/>
                <w:sz w:val="20"/>
                <w:szCs w:val="22"/>
              </w:rPr>
              <w:t>3925</w:t>
            </w:r>
          </w:p>
        </w:tc>
        <w:tc>
          <w:tcPr>
            <w:tcW w:w="4353" w:type="dxa"/>
          </w:tcPr>
          <w:p w:rsidR="00AB42BA" w:rsidRPr="0069075C" w:rsidRDefault="00AB42BA" w:rsidP="006D664E">
            <w:pPr>
              <w:spacing w:line="300" w:lineRule="exact"/>
              <w:jc w:val="both"/>
              <w:rPr>
                <w:rFonts w:ascii="PT Sans" w:hAnsi="PT Sans" w:cs="Arial"/>
                <w:sz w:val="20"/>
                <w:szCs w:val="22"/>
              </w:rPr>
            </w:pPr>
            <w:r w:rsidRPr="0069075C">
              <w:rPr>
                <w:rFonts w:ascii="PT Sans" w:hAnsi="PT Sans" w:cs="Arial"/>
                <w:sz w:val="20"/>
                <w:szCs w:val="22"/>
              </w:rPr>
              <w:t>Fabbricati D</w:t>
            </w:r>
          </w:p>
        </w:tc>
        <w:tc>
          <w:tcPr>
            <w:tcW w:w="3179" w:type="dxa"/>
          </w:tcPr>
          <w:p w:rsidR="00AB42BA" w:rsidRPr="0069075C" w:rsidRDefault="00AB42BA" w:rsidP="006D664E">
            <w:pPr>
              <w:spacing w:line="300" w:lineRule="exact"/>
              <w:rPr>
                <w:rFonts w:ascii="PT Sans" w:hAnsi="PT Sans" w:cs="Arial"/>
                <w:sz w:val="20"/>
                <w:szCs w:val="22"/>
              </w:rPr>
            </w:pPr>
            <w:r w:rsidRPr="0069075C">
              <w:rPr>
                <w:rFonts w:ascii="PT Sans" w:hAnsi="PT Sans" w:cs="Arial"/>
                <w:sz w:val="20"/>
                <w:szCs w:val="22"/>
              </w:rPr>
              <w:t>Stato</w:t>
            </w:r>
          </w:p>
        </w:tc>
      </w:tr>
      <w:tr w:rsidR="00AB42BA" w:rsidRPr="0069075C" w:rsidTr="006D664E">
        <w:tc>
          <w:tcPr>
            <w:tcW w:w="2127" w:type="dxa"/>
          </w:tcPr>
          <w:p w:rsidR="00AB42BA" w:rsidRPr="0069075C" w:rsidRDefault="00AB42BA" w:rsidP="006D664E">
            <w:pPr>
              <w:spacing w:line="300" w:lineRule="exact"/>
              <w:jc w:val="center"/>
              <w:rPr>
                <w:rFonts w:ascii="PT Sans" w:hAnsi="PT Sans" w:cs="Arial"/>
                <w:b/>
                <w:sz w:val="20"/>
                <w:szCs w:val="22"/>
              </w:rPr>
            </w:pPr>
            <w:r w:rsidRPr="0069075C">
              <w:rPr>
                <w:rFonts w:ascii="PT Sans" w:hAnsi="PT Sans" w:cs="Arial"/>
                <w:b/>
                <w:sz w:val="20"/>
                <w:szCs w:val="22"/>
              </w:rPr>
              <w:t>3930</w:t>
            </w:r>
          </w:p>
        </w:tc>
        <w:tc>
          <w:tcPr>
            <w:tcW w:w="4353" w:type="dxa"/>
          </w:tcPr>
          <w:p w:rsidR="00AB42BA" w:rsidRPr="0069075C" w:rsidRDefault="00AB42BA" w:rsidP="006D664E">
            <w:pPr>
              <w:spacing w:line="300" w:lineRule="exact"/>
              <w:jc w:val="both"/>
              <w:rPr>
                <w:rFonts w:ascii="PT Sans" w:hAnsi="PT Sans" w:cs="Arial"/>
                <w:sz w:val="20"/>
                <w:szCs w:val="22"/>
              </w:rPr>
            </w:pPr>
            <w:r w:rsidRPr="0069075C">
              <w:rPr>
                <w:rFonts w:ascii="PT Sans" w:hAnsi="PT Sans" w:cs="Arial"/>
                <w:sz w:val="20"/>
                <w:szCs w:val="22"/>
              </w:rPr>
              <w:t>Fabbricati D (incremento)</w:t>
            </w:r>
          </w:p>
        </w:tc>
        <w:tc>
          <w:tcPr>
            <w:tcW w:w="3179" w:type="dxa"/>
          </w:tcPr>
          <w:p w:rsidR="00AB42BA" w:rsidRPr="0069075C" w:rsidRDefault="00AB42BA" w:rsidP="006D664E">
            <w:pPr>
              <w:spacing w:line="300" w:lineRule="exact"/>
              <w:rPr>
                <w:rFonts w:ascii="PT Sans" w:hAnsi="PT Sans" w:cs="Arial"/>
                <w:sz w:val="20"/>
                <w:szCs w:val="22"/>
              </w:rPr>
            </w:pPr>
            <w:r w:rsidRPr="0069075C">
              <w:rPr>
                <w:rFonts w:ascii="PT Sans" w:hAnsi="PT Sans" w:cs="Arial"/>
                <w:sz w:val="20"/>
                <w:szCs w:val="22"/>
              </w:rPr>
              <w:t>Comune</w:t>
            </w:r>
          </w:p>
        </w:tc>
      </w:tr>
    </w:tbl>
    <w:p w:rsidR="00AB42BA" w:rsidRPr="0069075C" w:rsidRDefault="00AB42BA" w:rsidP="00AB42BA">
      <w:pPr>
        <w:spacing w:line="260" w:lineRule="exact"/>
        <w:jc w:val="both"/>
        <w:rPr>
          <w:rFonts w:ascii="PT Sans" w:hAnsi="PT Sans" w:cs="Arial"/>
          <w:szCs w:val="22"/>
        </w:rPr>
      </w:pPr>
    </w:p>
    <w:tbl>
      <w:tblPr>
        <w:tblW w:w="9593" w:type="dxa"/>
        <w:tblInd w:w="108" w:type="dxa"/>
        <w:tblBorders>
          <w:top w:val="single" w:sz="4" w:space="0" w:color="006EB7"/>
          <w:left w:val="single" w:sz="4" w:space="0" w:color="006EB7"/>
          <w:bottom w:val="single" w:sz="4" w:space="0" w:color="006EB7"/>
          <w:right w:val="single" w:sz="4" w:space="0" w:color="006EB7"/>
          <w:insideH w:val="single" w:sz="4" w:space="0" w:color="006EB7"/>
          <w:insideV w:val="single" w:sz="4" w:space="0" w:color="006EB7"/>
        </w:tblBorders>
        <w:tblLook w:val="01E0" w:firstRow="1" w:lastRow="1" w:firstColumn="1" w:lastColumn="1" w:noHBand="0" w:noVBand="0"/>
      </w:tblPr>
      <w:tblGrid>
        <w:gridCol w:w="2119"/>
        <w:gridCol w:w="4327"/>
        <w:gridCol w:w="3147"/>
      </w:tblGrid>
      <w:tr w:rsidR="00AB42BA" w:rsidRPr="0069075C" w:rsidTr="006D664E">
        <w:trPr>
          <w:trHeight w:val="294"/>
        </w:trPr>
        <w:tc>
          <w:tcPr>
            <w:tcW w:w="2119" w:type="dxa"/>
            <w:shd w:val="clear" w:color="auto" w:fill="B2D3E9"/>
          </w:tcPr>
          <w:p w:rsidR="00AB42BA" w:rsidRPr="0069075C" w:rsidRDefault="00AB42BA" w:rsidP="006D664E">
            <w:pPr>
              <w:spacing w:line="300" w:lineRule="exact"/>
              <w:jc w:val="center"/>
              <w:rPr>
                <w:rFonts w:ascii="PT Sans" w:hAnsi="PT Sans" w:cs="Arial"/>
                <w:b/>
                <w:sz w:val="20"/>
                <w:szCs w:val="22"/>
              </w:rPr>
            </w:pPr>
            <w:r w:rsidRPr="0069075C">
              <w:rPr>
                <w:rFonts w:ascii="PT Sans" w:hAnsi="PT Sans" w:cs="Arial"/>
                <w:b/>
                <w:sz w:val="20"/>
                <w:szCs w:val="22"/>
              </w:rPr>
              <w:t>Codice tributo Tasi</w:t>
            </w:r>
          </w:p>
        </w:tc>
        <w:tc>
          <w:tcPr>
            <w:tcW w:w="4327" w:type="dxa"/>
            <w:shd w:val="clear" w:color="auto" w:fill="B2D3E9"/>
          </w:tcPr>
          <w:p w:rsidR="00AB42BA" w:rsidRPr="0069075C" w:rsidRDefault="00AB42BA" w:rsidP="006D664E">
            <w:pPr>
              <w:spacing w:line="300" w:lineRule="exact"/>
              <w:jc w:val="center"/>
              <w:rPr>
                <w:rFonts w:ascii="PT Sans" w:hAnsi="PT Sans" w:cs="Arial"/>
                <w:b/>
                <w:sz w:val="20"/>
                <w:szCs w:val="22"/>
              </w:rPr>
            </w:pPr>
            <w:r w:rsidRPr="0069075C">
              <w:rPr>
                <w:rFonts w:ascii="PT Sans" w:hAnsi="PT Sans" w:cs="Arial"/>
                <w:b/>
                <w:sz w:val="20"/>
                <w:szCs w:val="22"/>
              </w:rPr>
              <w:t>Immobile</w:t>
            </w:r>
          </w:p>
        </w:tc>
        <w:tc>
          <w:tcPr>
            <w:tcW w:w="3147" w:type="dxa"/>
            <w:shd w:val="clear" w:color="auto" w:fill="B2D3E9"/>
          </w:tcPr>
          <w:p w:rsidR="00AB42BA" w:rsidRPr="0069075C" w:rsidRDefault="00AB42BA" w:rsidP="006D664E">
            <w:pPr>
              <w:spacing w:line="300" w:lineRule="exact"/>
              <w:jc w:val="center"/>
              <w:rPr>
                <w:rFonts w:ascii="PT Sans" w:hAnsi="PT Sans" w:cs="Arial"/>
                <w:b/>
                <w:sz w:val="20"/>
                <w:szCs w:val="22"/>
              </w:rPr>
            </w:pPr>
            <w:r w:rsidRPr="0069075C">
              <w:rPr>
                <w:rFonts w:ascii="PT Sans" w:hAnsi="PT Sans" w:cs="Arial"/>
                <w:b/>
                <w:sz w:val="20"/>
                <w:szCs w:val="22"/>
              </w:rPr>
              <w:t>Destinatario versamento</w:t>
            </w:r>
          </w:p>
        </w:tc>
      </w:tr>
      <w:tr w:rsidR="00AB42BA" w:rsidRPr="0069075C" w:rsidTr="006D664E">
        <w:trPr>
          <w:trHeight w:val="294"/>
        </w:trPr>
        <w:tc>
          <w:tcPr>
            <w:tcW w:w="2119" w:type="dxa"/>
          </w:tcPr>
          <w:p w:rsidR="00AB42BA" w:rsidRPr="0069075C" w:rsidRDefault="00AB42BA" w:rsidP="006D664E">
            <w:pPr>
              <w:spacing w:line="300" w:lineRule="exact"/>
              <w:jc w:val="center"/>
              <w:rPr>
                <w:rFonts w:ascii="PT Sans" w:hAnsi="PT Sans" w:cs="Arial"/>
                <w:b/>
                <w:sz w:val="20"/>
                <w:szCs w:val="22"/>
              </w:rPr>
            </w:pPr>
            <w:r w:rsidRPr="0069075C">
              <w:rPr>
                <w:rFonts w:ascii="PT Sans" w:hAnsi="PT Sans" w:cs="Arial"/>
                <w:b/>
                <w:sz w:val="20"/>
                <w:szCs w:val="22"/>
              </w:rPr>
              <w:t>3958</w:t>
            </w:r>
          </w:p>
        </w:tc>
        <w:tc>
          <w:tcPr>
            <w:tcW w:w="4327" w:type="dxa"/>
          </w:tcPr>
          <w:p w:rsidR="00AB42BA" w:rsidRPr="0069075C" w:rsidRDefault="00AB42BA" w:rsidP="006D664E">
            <w:pPr>
              <w:spacing w:line="300" w:lineRule="exact"/>
              <w:jc w:val="both"/>
              <w:rPr>
                <w:rFonts w:ascii="PT Sans" w:hAnsi="PT Sans" w:cs="Arial"/>
                <w:sz w:val="20"/>
                <w:szCs w:val="22"/>
              </w:rPr>
            </w:pPr>
            <w:r w:rsidRPr="0069075C">
              <w:rPr>
                <w:rFonts w:ascii="PT Sans" w:hAnsi="PT Sans" w:cs="Arial"/>
                <w:sz w:val="20"/>
                <w:szCs w:val="22"/>
              </w:rPr>
              <w:t>Abitazione principale e pertinenze</w:t>
            </w:r>
          </w:p>
        </w:tc>
        <w:tc>
          <w:tcPr>
            <w:tcW w:w="3147" w:type="dxa"/>
          </w:tcPr>
          <w:p w:rsidR="00AB42BA" w:rsidRPr="0069075C" w:rsidRDefault="00AB42BA" w:rsidP="006D664E">
            <w:pPr>
              <w:spacing w:line="300" w:lineRule="exact"/>
              <w:rPr>
                <w:rFonts w:ascii="PT Sans" w:hAnsi="PT Sans" w:cs="Arial"/>
                <w:sz w:val="20"/>
                <w:szCs w:val="22"/>
              </w:rPr>
            </w:pPr>
            <w:r w:rsidRPr="0069075C">
              <w:rPr>
                <w:rFonts w:ascii="PT Sans" w:hAnsi="PT Sans" w:cs="Arial"/>
                <w:sz w:val="20"/>
                <w:szCs w:val="22"/>
              </w:rPr>
              <w:t>Comune</w:t>
            </w:r>
          </w:p>
        </w:tc>
      </w:tr>
      <w:tr w:rsidR="00AB42BA" w:rsidRPr="0069075C" w:rsidTr="006D664E">
        <w:trPr>
          <w:trHeight w:val="294"/>
        </w:trPr>
        <w:tc>
          <w:tcPr>
            <w:tcW w:w="2119" w:type="dxa"/>
          </w:tcPr>
          <w:p w:rsidR="00AB42BA" w:rsidRPr="0069075C" w:rsidRDefault="00AB42BA" w:rsidP="006D664E">
            <w:pPr>
              <w:spacing w:line="300" w:lineRule="exact"/>
              <w:jc w:val="center"/>
              <w:rPr>
                <w:rFonts w:ascii="PT Sans" w:hAnsi="PT Sans" w:cs="Arial"/>
                <w:b/>
                <w:sz w:val="20"/>
                <w:szCs w:val="22"/>
              </w:rPr>
            </w:pPr>
            <w:r w:rsidRPr="0069075C">
              <w:rPr>
                <w:rFonts w:ascii="PT Sans" w:hAnsi="PT Sans" w:cs="Arial"/>
                <w:b/>
                <w:sz w:val="20"/>
                <w:szCs w:val="22"/>
              </w:rPr>
              <w:t>3959</w:t>
            </w:r>
          </w:p>
        </w:tc>
        <w:tc>
          <w:tcPr>
            <w:tcW w:w="4327" w:type="dxa"/>
          </w:tcPr>
          <w:p w:rsidR="00AB42BA" w:rsidRPr="0069075C" w:rsidRDefault="00AB42BA" w:rsidP="006D664E">
            <w:pPr>
              <w:spacing w:line="300" w:lineRule="exact"/>
              <w:jc w:val="both"/>
              <w:rPr>
                <w:rFonts w:ascii="PT Sans" w:hAnsi="PT Sans" w:cs="Arial"/>
                <w:sz w:val="20"/>
                <w:szCs w:val="22"/>
              </w:rPr>
            </w:pPr>
            <w:r w:rsidRPr="0069075C">
              <w:rPr>
                <w:rFonts w:ascii="PT Sans" w:hAnsi="PT Sans" w:cs="Arial"/>
                <w:sz w:val="20"/>
                <w:szCs w:val="22"/>
              </w:rPr>
              <w:t>Fabbricati rurali ad uso strumentale</w:t>
            </w:r>
          </w:p>
        </w:tc>
        <w:tc>
          <w:tcPr>
            <w:tcW w:w="3147" w:type="dxa"/>
          </w:tcPr>
          <w:p w:rsidR="00AB42BA" w:rsidRPr="0069075C" w:rsidRDefault="00AB42BA" w:rsidP="006D664E">
            <w:pPr>
              <w:spacing w:line="300" w:lineRule="exact"/>
              <w:rPr>
                <w:rFonts w:ascii="PT Sans" w:hAnsi="PT Sans" w:cs="Arial"/>
                <w:sz w:val="20"/>
                <w:szCs w:val="22"/>
              </w:rPr>
            </w:pPr>
            <w:r w:rsidRPr="0069075C">
              <w:rPr>
                <w:rFonts w:ascii="PT Sans" w:hAnsi="PT Sans" w:cs="Arial"/>
                <w:sz w:val="20"/>
                <w:szCs w:val="22"/>
              </w:rPr>
              <w:t>Comune</w:t>
            </w:r>
          </w:p>
        </w:tc>
      </w:tr>
      <w:tr w:rsidR="00AB42BA" w:rsidRPr="0069075C" w:rsidTr="006D664E">
        <w:trPr>
          <w:trHeight w:val="308"/>
        </w:trPr>
        <w:tc>
          <w:tcPr>
            <w:tcW w:w="2119" w:type="dxa"/>
          </w:tcPr>
          <w:p w:rsidR="00AB42BA" w:rsidRPr="0069075C" w:rsidRDefault="00AB42BA" w:rsidP="006D664E">
            <w:pPr>
              <w:spacing w:line="300" w:lineRule="exact"/>
              <w:jc w:val="center"/>
              <w:rPr>
                <w:rFonts w:ascii="PT Sans" w:hAnsi="PT Sans" w:cs="Arial"/>
                <w:b/>
                <w:sz w:val="20"/>
                <w:szCs w:val="22"/>
              </w:rPr>
            </w:pPr>
            <w:r w:rsidRPr="0069075C">
              <w:rPr>
                <w:rFonts w:ascii="PT Sans" w:hAnsi="PT Sans" w:cs="Arial"/>
                <w:b/>
                <w:sz w:val="20"/>
                <w:szCs w:val="22"/>
              </w:rPr>
              <w:t>3960</w:t>
            </w:r>
          </w:p>
        </w:tc>
        <w:tc>
          <w:tcPr>
            <w:tcW w:w="4327" w:type="dxa"/>
          </w:tcPr>
          <w:p w:rsidR="00AB42BA" w:rsidRPr="0069075C" w:rsidRDefault="00AB42BA" w:rsidP="006D664E">
            <w:pPr>
              <w:spacing w:line="300" w:lineRule="exact"/>
              <w:jc w:val="both"/>
              <w:rPr>
                <w:rFonts w:ascii="PT Sans" w:hAnsi="PT Sans" w:cs="Arial"/>
                <w:sz w:val="20"/>
                <w:szCs w:val="22"/>
              </w:rPr>
            </w:pPr>
            <w:r w:rsidRPr="0069075C">
              <w:rPr>
                <w:rFonts w:ascii="PT Sans" w:hAnsi="PT Sans" w:cs="Arial"/>
                <w:sz w:val="20"/>
                <w:szCs w:val="22"/>
              </w:rPr>
              <w:t>Aree fabbricabili</w:t>
            </w:r>
          </w:p>
        </w:tc>
        <w:tc>
          <w:tcPr>
            <w:tcW w:w="3147" w:type="dxa"/>
          </w:tcPr>
          <w:p w:rsidR="00AB42BA" w:rsidRPr="0069075C" w:rsidRDefault="00AB42BA" w:rsidP="006D664E">
            <w:pPr>
              <w:spacing w:line="300" w:lineRule="exact"/>
              <w:rPr>
                <w:rFonts w:ascii="PT Sans" w:hAnsi="PT Sans" w:cs="Arial"/>
                <w:sz w:val="20"/>
                <w:szCs w:val="22"/>
              </w:rPr>
            </w:pPr>
            <w:r w:rsidRPr="0069075C">
              <w:rPr>
                <w:rFonts w:ascii="PT Sans" w:hAnsi="PT Sans" w:cs="Arial"/>
                <w:sz w:val="20"/>
                <w:szCs w:val="22"/>
              </w:rPr>
              <w:t>Comune</w:t>
            </w:r>
          </w:p>
        </w:tc>
      </w:tr>
      <w:tr w:rsidR="00AB42BA" w:rsidRPr="0069075C" w:rsidTr="006D664E">
        <w:trPr>
          <w:trHeight w:val="294"/>
        </w:trPr>
        <w:tc>
          <w:tcPr>
            <w:tcW w:w="2119" w:type="dxa"/>
          </w:tcPr>
          <w:p w:rsidR="00AB42BA" w:rsidRPr="0069075C" w:rsidRDefault="00AB42BA" w:rsidP="006D664E">
            <w:pPr>
              <w:spacing w:line="300" w:lineRule="exact"/>
              <w:jc w:val="center"/>
              <w:rPr>
                <w:rFonts w:ascii="PT Sans" w:hAnsi="PT Sans" w:cs="Arial"/>
                <w:b/>
                <w:sz w:val="20"/>
                <w:szCs w:val="22"/>
              </w:rPr>
            </w:pPr>
            <w:r w:rsidRPr="0069075C">
              <w:rPr>
                <w:rFonts w:ascii="PT Sans" w:hAnsi="PT Sans" w:cs="Arial"/>
                <w:b/>
                <w:sz w:val="20"/>
                <w:szCs w:val="22"/>
              </w:rPr>
              <w:t>3961</w:t>
            </w:r>
          </w:p>
        </w:tc>
        <w:tc>
          <w:tcPr>
            <w:tcW w:w="4327" w:type="dxa"/>
          </w:tcPr>
          <w:p w:rsidR="00AB42BA" w:rsidRPr="0069075C" w:rsidRDefault="00AB42BA" w:rsidP="006D664E">
            <w:pPr>
              <w:spacing w:line="300" w:lineRule="exact"/>
              <w:jc w:val="both"/>
              <w:rPr>
                <w:rFonts w:ascii="PT Sans" w:hAnsi="PT Sans" w:cs="Arial"/>
                <w:sz w:val="20"/>
                <w:szCs w:val="22"/>
              </w:rPr>
            </w:pPr>
            <w:r w:rsidRPr="0069075C">
              <w:rPr>
                <w:rFonts w:ascii="PT Sans" w:hAnsi="PT Sans" w:cs="Arial"/>
                <w:sz w:val="20"/>
                <w:szCs w:val="22"/>
              </w:rPr>
              <w:t>Altri fabbricati</w:t>
            </w:r>
          </w:p>
        </w:tc>
        <w:tc>
          <w:tcPr>
            <w:tcW w:w="3147" w:type="dxa"/>
          </w:tcPr>
          <w:p w:rsidR="00AB42BA" w:rsidRPr="0069075C" w:rsidRDefault="00AB42BA" w:rsidP="006D664E">
            <w:pPr>
              <w:spacing w:line="300" w:lineRule="exact"/>
              <w:rPr>
                <w:rFonts w:ascii="PT Sans" w:hAnsi="PT Sans" w:cs="Arial"/>
                <w:sz w:val="20"/>
                <w:szCs w:val="22"/>
              </w:rPr>
            </w:pPr>
            <w:r w:rsidRPr="0069075C">
              <w:rPr>
                <w:rFonts w:ascii="PT Sans" w:hAnsi="PT Sans" w:cs="Arial"/>
                <w:sz w:val="20"/>
                <w:szCs w:val="22"/>
              </w:rPr>
              <w:t>Comune</w:t>
            </w:r>
          </w:p>
        </w:tc>
      </w:tr>
    </w:tbl>
    <w:p w:rsidR="00AB42BA" w:rsidRPr="0069075C" w:rsidRDefault="00AB42BA" w:rsidP="00AB42BA">
      <w:pPr>
        <w:spacing w:before="120" w:line="320" w:lineRule="exact"/>
        <w:jc w:val="both"/>
        <w:rPr>
          <w:rFonts w:ascii="PT Sans" w:hAnsi="PT Sans" w:cs="Arial"/>
          <w:szCs w:val="22"/>
        </w:rPr>
      </w:pPr>
      <w:r w:rsidRPr="0069075C">
        <w:rPr>
          <w:rFonts w:ascii="PT Sans" w:hAnsi="PT Sans" w:cs="Arial"/>
          <w:szCs w:val="22"/>
        </w:rPr>
        <w:t>L’utilizzo del modello F24 consente la compensazione del tributo dovuto con altri crediti vantati dal contribuente.</w:t>
      </w:r>
    </w:p>
    <w:p w:rsidR="00AB42BA" w:rsidRPr="0069075C" w:rsidRDefault="00AB42BA" w:rsidP="00AB42BA">
      <w:pPr>
        <w:spacing w:line="280" w:lineRule="exact"/>
        <w:jc w:val="both"/>
        <w:rPr>
          <w:rFonts w:ascii="PT Sans" w:hAnsi="PT Sans" w:cs="Arial"/>
          <w:b/>
          <w:szCs w:val="22"/>
        </w:rPr>
      </w:pPr>
    </w:p>
    <w:p w:rsidR="00AB42BA" w:rsidRPr="0069075C" w:rsidRDefault="00AB42BA" w:rsidP="00AB42BA">
      <w:pPr>
        <w:pStyle w:val="Corpodeltesto2"/>
        <w:spacing w:line="320" w:lineRule="exact"/>
        <w:rPr>
          <w:rFonts w:ascii="PT Sans" w:hAnsi="PT Sans"/>
          <w:b/>
          <w:color w:val="006EB7"/>
          <w:sz w:val="22"/>
        </w:rPr>
      </w:pPr>
      <w:r w:rsidRPr="0069075C">
        <w:rPr>
          <w:rFonts w:ascii="PT Sans" w:hAnsi="PT Sans"/>
          <w:b/>
          <w:color w:val="006EB7"/>
          <w:sz w:val="22"/>
        </w:rPr>
        <w:t>Le aliquote applicabili</w:t>
      </w:r>
    </w:p>
    <w:p w:rsidR="00AB42BA" w:rsidRPr="0069075C" w:rsidRDefault="00AB42BA" w:rsidP="00AB42BA">
      <w:pPr>
        <w:pStyle w:val="sottoparagrafo"/>
        <w:spacing w:line="320" w:lineRule="exact"/>
        <w:rPr>
          <w:rFonts w:ascii="PT Sans" w:hAnsi="PT Sans"/>
          <w:i w:val="0"/>
          <w:iCs/>
        </w:rPr>
      </w:pPr>
      <w:r w:rsidRPr="0069075C">
        <w:rPr>
          <w:rFonts w:ascii="PT Sans" w:hAnsi="PT Sans"/>
          <w:iCs/>
        </w:rPr>
        <w:t>Imu</w:t>
      </w:r>
    </w:p>
    <w:p w:rsidR="00AB42BA" w:rsidRPr="0069075C" w:rsidRDefault="00AB42BA" w:rsidP="00AB42BA">
      <w:pPr>
        <w:spacing w:line="320" w:lineRule="exact"/>
        <w:jc w:val="both"/>
        <w:rPr>
          <w:rFonts w:ascii="PT Sans" w:hAnsi="PT Sans" w:cs="Arial"/>
          <w:szCs w:val="22"/>
        </w:rPr>
      </w:pPr>
      <w:r w:rsidRPr="0069075C">
        <w:rPr>
          <w:rFonts w:ascii="PT Sans" w:hAnsi="PT Sans" w:cs="Arial"/>
          <w:szCs w:val="22"/>
        </w:rPr>
        <w:t xml:space="preserve">L'aliquota di base prevista per l’Imu è stata fissata allo 0,76%: i Comuni possono agire su tale aliquota modificandola in aumento o in diminuzione sino a 0,3 punti percentuali (quindi il </w:t>
      </w:r>
      <w:r w:rsidRPr="0069075C">
        <w:rPr>
          <w:rFonts w:ascii="PT Sans" w:hAnsi="PT Sans" w:cs="Arial"/>
          <w:i/>
          <w:szCs w:val="22"/>
        </w:rPr>
        <w:t>range</w:t>
      </w:r>
      <w:r w:rsidRPr="0069075C">
        <w:rPr>
          <w:rFonts w:ascii="PT Sans" w:hAnsi="PT Sans" w:cs="Arial"/>
          <w:szCs w:val="22"/>
        </w:rPr>
        <w:t xml:space="preserve"> dell’aliquota ordinaria sarà compreso tra 4,6 per mille e il 10,6 per mille).</w:t>
      </w:r>
    </w:p>
    <w:p w:rsidR="00AB42BA" w:rsidRPr="0069075C" w:rsidRDefault="00AB42BA" w:rsidP="00AB42BA">
      <w:pPr>
        <w:spacing w:line="320" w:lineRule="exact"/>
        <w:jc w:val="both"/>
        <w:rPr>
          <w:rFonts w:ascii="PT Sans" w:hAnsi="PT Sans" w:cs="Arial"/>
          <w:szCs w:val="22"/>
        </w:rPr>
      </w:pPr>
    </w:p>
    <w:p w:rsidR="00AB42BA" w:rsidRPr="0069075C" w:rsidRDefault="00AB42BA" w:rsidP="00AB42BA">
      <w:pPr>
        <w:pStyle w:val="sottoparagrafo"/>
        <w:spacing w:line="320" w:lineRule="exact"/>
        <w:rPr>
          <w:rFonts w:ascii="PT Sans" w:hAnsi="PT Sans"/>
          <w:i w:val="0"/>
          <w:iCs/>
          <w:u w:val="single"/>
        </w:rPr>
      </w:pPr>
      <w:r w:rsidRPr="0069075C">
        <w:rPr>
          <w:rFonts w:ascii="PT Sans" w:hAnsi="PT Sans"/>
          <w:iCs/>
        </w:rPr>
        <w:t>Tasi</w:t>
      </w:r>
    </w:p>
    <w:p w:rsidR="00AB42BA" w:rsidRPr="0069075C" w:rsidRDefault="00AB42BA" w:rsidP="00AB42BA">
      <w:pPr>
        <w:spacing w:line="320" w:lineRule="exact"/>
        <w:jc w:val="both"/>
        <w:rPr>
          <w:rFonts w:ascii="PT Sans" w:hAnsi="PT Sans" w:cs="Arial"/>
          <w:szCs w:val="22"/>
        </w:rPr>
      </w:pPr>
      <w:r w:rsidRPr="0069075C">
        <w:rPr>
          <w:rFonts w:ascii="PT Sans" w:hAnsi="PT Sans" w:cs="Arial"/>
          <w:szCs w:val="22"/>
        </w:rPr>
        <w:t>L’aliquota Tasi è invece molto più vincolata e, in parte, dipende da quanto stabilito per l’Imu:</w:t>
      </w:r>
    </w:p>
    <w:p w:rsidR="00AB42BA" w:rsidRPr="0069075C" w:rsidRDefault="00AB42BA" w:rsidP="00BB6277">
      <w:pPr>
        <w:numPr>
          <w:ilvl w:val="0"/>
          <w:numId w:val="15"/>
        </w:numPr>
        <w:spacing w:line="320" w:lineRule="exact"/>
        <w:jc w:val="both"/>
        <w:rPr>
          <w:rFonts w:ascii="PT Sans" w:hAnsi="PT Sans" w:cs="Arial"/>
          <w:szCs w:val="22"/>
        </w:rPr>
      </w:pPr>
      <w:r w:rsidRPr="0069075C">
        <w:rPr>
          <w:rFonts w:ascii="PT Sans" w:hAnsi="PT Sans" w:cs="Arial"/>
          <w:szCs w:val="22"/>
        </w:rPr>
        <w:t>per i fabbricati rurali a uso strumentale l’aliquota massima della Tasi non può comunque eccedere il limite dell’1 per mille;</w:t>
      </w:r>
    </w:p>
    <w:p w:rsidR="00AB42BA" w:rsidRPr="0069075C" w:rsidRDefault="00AB42BA" w:rsidP="00BB6277">
      <w:pPr>
        <w:numPr>
          <w:ilvl w:val="0"/>
          <w:numId w:val="15"/>
        </w:numPr>
        <w:spacing w:line="320" w:lineRule="exact"/>
        <w:jc w:val="both"/>
        <w:rPr>
          <w:rFonts w:ascii="PT Sans" w:hAnsi="PT Sans" w:cs="Arial"/>
          <w:b/>
          <w:bCs/>
          <w:spacing w:val="2"/>
          <w:szCs w:val="22"/>
        </w:rPr>
      </w:pPr>
      <w:r w:rsidRPr="0069075C">
        <w:rPr>
          <w:rFonts w:ascii="PT Sans" w:hAnsi="PT Sans" w:cs="Arial"/>
          <w:bCs/>
          <w:spacing w:val="2"/>
          <w:szCs w:val="22"/>
        </w:rPr>
        <w:t>la somma delle aliquote della Tasi e dell’Imu, per ciascuna tipologia di immobile, non può essere in ogni caso superiore all’aliquota massima consentita dalla legge statale per l’Imu al 31 dicembre 2013, quindi si deve fare riferimento ad un tetto fissato al 10,6 per mille per la generalità degli immobili, ovvero ad altre minori aliquote in relazione alle diverse tipologie (6 per mille per le abitazioni principali, ove dovuta);</w:t>
      </w:r>
    </w:p>
    <w:p w:rsidR="00AB42BA" w:rsidRPr="0069075C" w:rsidRDefault="00AB42BA" w:rsidP="00BB6277">
      <w:pPr>
        <w:numPr>
          <w:ilvl w:val="0"/>
          <w:numId w:val="15"/>
        </w:numPr>
        <w:spacing w:line="320" w:lineRule="exact"/>
        <w:jc w:val="both"/>
        <w:rPr>
          <w:rFonts w:ascii="PT Sans" w:hAnsi="PT Sans" w:cs="Arial"/>
          <w:bCs/>
          <w:szCs w:val="22"/>
        </w:rPr>
      </w:pPr>
      <w:r w:rsidRPr="0069075C">
        <w:rPr>
          <w:rFonts w:ascii="PT Sans" w:hAnsi="PT Sans" w:cs="Arial"/>
          <w:bCs/>
          <w:szCs w:val="22"/>
        </w:rPr>
        <w:lastRenderedPageBreak/>
        <w:t>è consentito ai Comuni di derogare a tale limite per un ammontare complessivamente non superiore allo 0,8 per mille, a condizione che tale previsione sia già stata in passato deliberata;</w:t>
      </w:r>
    </w:p>
    <w:p w:rsidR="00AB42BA" w:rsidRPr="0069075C" w:rsidRDefault="00AB42BA" w:rsidP="00BB6277">
      <w:pPr>
        <w:numPr>
          <w:ilvl w:val="0"/>
          <w:numId w:val="15"/>
        </w:numPr>
        <w:spacing w:line="320" w:lineRule="exact"/>
        <w:jc w:val="both"/>
        <w:rPr>
          <w:rFonts w:ascii="PT Sans" w:hAnsi="PT Sans" w:cs="Arial"/>
          <w:bCs/>
          <w:spacing w:val="-6"/>
          <w:szCs w:val="22"/>
        </w:rPr>
      </w:pPr>
      <w:r w:rsidRPr="0069075C">
        <w:rPr>
          <w:rFonts w:ascii="PT Sans" w:hAnsi="PT Sans" w:cs="Arial"/>
          <w:bCs/>
          <w:spacing w:val="-6"/>
          <w:szCs w:val="22"/>
        </w:rPr>
        <w:t>per gli immobili invenduti delle imprese di costruzione è prevista un’aliquota massima del 2,5 per mille.</w:t>
      </w:r>
    </w:p>
    <w:p w:rsidR="00AB42BA" w:rsidRPr="0069075C" w:rsidRDefault="00AB42BA" w:rsidP="00AB42BA">
      <w:pPr>
        <w:spacing w:line="280" w:lineRule="exact"/>
        <w:jc w:val="both"/>
        <w:rPr>
          <w:rFonts w:ascii="PT Sans" w:hAnsi="PT Sans" w:cs="Arial"/>
          <w:szCs w:val="22"/>
        </w:rPr>
      </w:pPr>
    </w:p>
    <w:p w:rsidR="00AB42BA" w:rsidRPr="0069075C" w:rsidRDefault="00AB42BA" w:rsidP="00AB42BA">
      <w:pPr>
        <w:pStyle w:val="Corpodeltesto2"/>
        <w:spacing w:line="320" w:lineRule="exact"/>
        <w:rPr>
          <w:rFonts w:ascii="PT Sans" w:hAnsi="PT Sans"/>
          <w:b/>
          <w:color w:val="006EB7"/>
          <w:sz w:val="22"/>
        </w:rPr>
      </w:pPr>
      <w:r w:rsidRPr="0069075C">
        <w:rPr>
          <w:rFonts w:ascii="PT Sans" w:hAnsi="PT Sans"/>
          <w:b/>
          <w:color w:val="006EB7"/>
          <w:sz w:val="22"/>
        </w:rPr>
        <w:t>I soggetti passivi</w:t>
      </w:r>
    </w:p>
    <w:p w:rsidR="00AB42BA" w:rsidRPr="0069075C" w:rsidRDefault="00AB42BA" w:rsidP="00AB42BA">
      <w:pPr>
        <w:pStyle w:val="sottoparagrafo"/>
        <w:spacing w:line="320" w:lineRule="exact"/>
        <w:rPr>
          <w:rFonts w:ascii="PT Sans" w:hAnsi="PT Sans"/>
          <w:i w:val="0"/>
          <w:iCs/>
        </w:rPr>
      </w:pPr>
      <w:r w:rsidRPr="0069075C">
        <w:rPr>
          <w:rFonts w:ascii="PT Sans" w:hAnsi="PT Sans"/>
          <w:iCs/>
        </w:rPr>
        <w:t>Imu</w:t>
      </w:r>
    </w:p>
    <w:p w:rsidR="00AB42BA" w:rsidRPr="0069075C" w:rsidRDefault="00AB42BA" w:rsidP="00AB42BA">
      <w:pPr>
        <w:spacing w:line="320" w:lineRule="exact"/>
        <w:jc w:val="both"/>
        <w:rPr>
          <w:rFonts w:ascii="PT Sans" w:hAnsi="PT Sans" w:cs="Arial"/>
          <w:szCs w:val="22"/>
        </w:rPr>
      </w:pPr>
      <w:r w:rsidRPr="0069075C">
        <w:rPr>
          <w:rFonts w:ascii="PT Sans" w:hAnsi="PT Sans" w:cs="Arial"/>
          <w:szCs w:val="22"/>
        </w:rPr>
        <w:t>Sono soggetti passivi Imu i possessori di qualunque immobile, e in particolare:</w:t>
      </w:r>
    </w:p>
    <w:p w:rsidR="00AB42BA" w:rsidRPr="0069075C" w:rsidRDefault="00AB42BA" w:rsidP="00BB6277">
      <w:pPr>
        <w:numPr>
          <w:ilvl w:val="0"/>
          <w:numId w:val="15"/>
        </w:numPr>
        <w:spacing w:line="320" w:lineRule="exact"/>
        <w:jc w:val="both"/>
        <w:rPr>
          <w:rFonts w:ascii="PT Sans" w:hAnsi="PT Sans" w:cs="Arial"/>
          <w:bCs/>
          <w:szCs w:val="22"/>
        </w:rPr>
      </w:pPr>
      <w:r w:rsidRPr="0069075C">
        <w:rPr>
          <w:rFonts w:ascii="PT Sans" w:hAnsi="PT Sans" w:cs="Arial"/>
          <w:szCs w:val="22"/>
        </w:rPr>
        <w:t xml:space="preserve">il </w:t>
      </w:r>
      <w:r w:rsidRPr="0069075C">
        <w:rPr>
          <w:rFonts w:ascii="PT Sans" w:hAnsi="PT Sans" w:cs="Arial"/>
          <w:bCs/>
          <w:szCs w:val="22"/>
        </w:rPr>
        <w:t>proprietario di immobili (solo se in piena proprietà, ossia per la quota non gravata da usufrutto);</w:t>
      </w:r>
    </w:p>
    <w:p w:rsidR="00AB42BA" w:rsidRPr="0069075C" w:rsidRDefault="00AB42BA" w:rsidP="00BB6277">
      <w:pPr>
        <w:numPr>
          <w:ilvl w:val="0"/>
          <w:numId w:val="15"/>
        </w:numPr>
        <w:spacing w:line="320" w:lineRule="exact"/>
        <w:jc w:val="both"/>
        <w:rPr>
          <w:rFonts w:ascii="PT Sans" w:hAnsi="PT Sans" w:cs="Arial"/>
          <w:bCs/>
          <w:szCs w:val="22"/>
        </w:rPr>
      </w:pPr>
      <w:r w:rsidRPr="0069075C">
        <w:rPr>
          <w:rFonts w:ascii="PT Sans" w:hAnsi="PT Sans" w:cs="Arial"/>
          <w:bCs/>
          <w:szCs w:val="22"/>
        </w:rPr>
        <w:t>l’usufruttuario (nel qual caso il titolare della nuda proprietà non deve versare);</w:t>
      </w:r>
    </w:p>
    <w:p w:rsidR="00AB42BA" w:rsidRPr="0069075C" w:rsidRDefault="00AB42BA" w:rsidP="00BB6277">
      <w:pPr>
        <w:numPr>
          <w:ilvl w:val="0"/>
          <w:numId w:val="15"/>
        </w:numPr>
        <w:spacing w:line="320" w:lineRule="exact"/>
        <w:jc w:val="both"/>
        <w:rPr>
          <w:rFonts w:ascii="PT Sans" w:hAnsi="PT Sans" w:cs="Arial"/>
          <w:bCs/>
          <w:szCs w:val="22"/>
        </w:rPr>
      </w:pPr>
      <w:r w:rsidRPr="0069075C">
        <w:rPr>
          <w:rFonts w:ascii="PT Sans" w:hAnsi="PT Sans" w:cs="Arial"/>
          <w:bCs/>
          <w:szCs w:val="22"/>
        </w:rPr>
        <w:t>il titolare del diritto d’uso;</w:t>
      </w:r>
    </w:p>
    <w:p w:rsidR="00AB42BA" w:rsidRPr="0069075C" w:rsidRDefault="00AB42BA" w:rsidP="00BB6277">
      <w:pPr>
        <w:numPr>
          <w:ilvl w:val="0"/>
          <w:numId w:val="15"/>
        </w:numPr>
        <w:spacing w:line="320" w:lineRule="exact"/>
        <w:jc w:val="both"/>
        <w:rPr>
          <w:rFonts w:ascii="PT Sans" w:hAnsi="PT Sans" w:cs="Arial"/>
          <w:bCs/>
          <w:szCs w:val="22"/>
        </w:rPr>
      </w:pPr>
      <w:r w:rsidRPr="0069075C">
        <w:rPr>
          <w:rFonts w:ascii="PT Sans" w:hAnsi="PT Sans" w:cs="Arial"/>
          <w:bCs/>
          <w:szCs w:val="22"/>
        </w:rPr>
        <w:t>il titolare del diritto di abitazione: nel caso di decesso di uno dei due coniugi, con riferimento alla casa coniugale, pagherà il coniuge superstite. Con riferimento agli altri immobili di proprietà del defunto pagherà l’imposta ciascuno degli eredi in ragione delle proprie quote di spettanza;</w:t>
      </w:r>
    </w:p>
    <w:p w:rsidR="00AB42BA" w:rsidRPr="0069075C" w:rsidRDefault="00AB42BA" w:rsidP="00BB6277">
      <w:pPr>
        <w:numPr>
          <w:ilvl w:val="0"/>
          <w:numId w:val="15"/>
        </w:numPr>
        <w:spacing w:line="320" w:lineRule="exact"/>
        <w:jc w:val="both"/>
        <w:rPr>
          <w:rFonts w:ascii="PT Sans" w:hAnsi="PT Sans" w:cs="Arial"/>
          <w:bCs/>
          <w:szCs w:val="22"/>
        </w:rPr>
      </w:pPr>
      <w:r w:rsidRPr="0069075C">
        <w:rPr>
          <w:rFonts w:ascii="PT Sans" w:hAnsi="PT Sans" w:cs="Arial"/>
          <w:bCs/>
          <w:szCs w:val="22"/>
        </w:rPr>
        <w:t>il titolare del diritto di enfiteusi;</w:t>
      </w:r>
    </w:p>
    <w:p w:rsidR="00AB42BA" w:rsidRPr="0069075C" w:rsidRDefault="00AB42BA" w:rsidP="00BB6277">
      <w:pPr>
        <w:numPr>
          <w:ilvl w:val="0"/>
          <w:numId w:val="15"/>
        </w:numPr>
        <w:spacing w:line="320" w:lineRule="exact"/>
        <w:jc w:val="both"/>
        <w:rPr>
          <w:rFonts w:ascii="PT Sans" w:hAnsi="PT Sans" w:cs="Arial"/>
          <w:bCs/>
          <w:szCs w:val="22"/>
        </w:rPr>
      </w:pPr>
      <w:r w:rsidRPr="0069075C">
        <w:rPr>
          <w:rFonts w:ascii="PT Sans" w:hAnsi="PT Sans" w:cs="Arial"/>
          <w:bCs/>
          <w:szCs w:val="22"/>
        </w:rPr>
        <w:t>il titolare del diritto di superficie;</w:t>
      </w:r>
    </w:p>
    <w:p w:rsidR="00AB42BA" w:rsidRPr="0069075C" w:rsidRDefault="00AB42BA" w:rsidP="00BB6277">
      <w:pPr>
        <w:numPr>
          <w:ilvl w:val="0"/>
          <w:numId w:val="15"/>
        </w:numPr>
        <w:spacing w:line="320" w:lineRule="exact"/>
        <w:jc w:val="both"/>
        <w:rPr>
          <w:rFonts w:ascii="PT Sans" w:hAnsi="PT Sans" w:cs="Arial"/>
          <w:bCs/>
          <w:szCs w:val="22"/>
        </w:rPr>
      </w:pPr>
      <w:r w:rsidRPr="0069075C">
        <w:rPr>
          <w:rFonts w:ascii="PT Sans" w:hAnsi="PT Sans" w:cs="Arial"/>
          <w:bCs/>
          <w:szCs w:val="22"/>
        </w:rPr>
        <w:t>il concessionario di aree demaniali;</w:t>
      </w:r>
    </w:p>
    <w:p w:rsidR="00AB42BA" w:rsidRPr="0069075C" w:rsidRDefault="00AB42BA" w:rsidP="00BB6277">
      <w:pPr>
        <w:numPr>
          <w:ilvl w:val="0"/>
          <w:numId w:val="15"/>
        </w:numPr>
        <w:spacing w:line="320" w:lineRule="exact"/>
        <w:jc w:val="both"/>
        <w:rPr>
          <w:rFonts w:ascii="PT Sans" w:hAnsi="PT Sans" w:cs="Arial"/>
          <w:bCs/>
          <w:szCs w:val="22"/>
        </w:rPr>
      </w:pPr>
      <w:r w:rsidRPr="0069075C">
        <w:rPr>
          <w:rFonts w:ascii="PT Sans" w:hAnsi="PT Sans" w:cs="Arial"/>
          <w:bCs/>
          <w:szCs w:val="22"/>
        </w:rPr>
        <w:t xml:space="preserve">nel caso di immobile utilizzato in forza di contratto di </w:t>
      </w:r>
      <w:r w:rsidRPr="0069075C">
        <w:rPr>
          <w:rFonts w:ascii="PT Sans" w:hAnsi="PT Sans" w:cs="Arial"/>
          <w:bCs/>
          <w:i/>
          <w:szCs w:val="22"/>
        </w:rPr>
        <w:t>leasing</w:t>
      </w:r>
      <w:r w:rsidRPr="0069075C">
        <w:rPr>
          <w:rFonts w:ascii="PT Sans" w:hAnsi="PT Sans" w:cs="Arial"/>
          <w:bCs/>
          <w:szCs w:val="22"/>
        </w:rPr>
        <w:t xml:space="preserve"> il soggetto passivo è l’utilizzatore sin dalla data di stipula del contratto (anche per l’immobile in corso di costruzione);</w:t>
      </w:r>
    </w:p>
    <w:p w:rsidR="00AB42BA" w:rsidRPr="0069075C" w:rsidRDefault="00AB42BA" w:rsidP="00BB6277">
      <w:pPr>
        <w:numPr>
          <w:ilvl w:val="0"/>
          <w:numId w:val="15"/>
        </w:numPr>
        <w:spacing w:line="320" w:lineRule="exact"/>
        <w:jc w:val="both"/>
        <w:rPr>
          <w:rFonts w:ascii="PT Sans" w:hAnsi="PT Sans" w:cs="Arial"/>
          <w:szCs w:val="22"/>
        </w:rPr>
      </w:pPr>
      <w:r w:rsidRPr="0069075C">
        <w:rPr>
          <w:rFonts w:ascii="PT Sans" w:hAnsi="PT Sans" w:cs="Arial"/>
          <w:bCs/>
          <w:szCs w:val="22"/>
        </w:rPr>
        <w:t>il coniuge</w:t>
      </w:r>
      <w:r w:rsidRPr="0069075C">
        <w:rPr>
          <w:rFonts w:ascii="PT Sans" w:hAnsi="PT Sans" w:cs="Arial"/>
          <w:szCs w:val="22"/>
        </w:rPr>
        <w:t xml:space="preserve"> assegnatario della casa coniugale in seguito a provvedimento di separazione legale, annullamento, scioglimento o cessazione degli effetti civili del matrimonio (quindi il coniuge non assegnatario, da quando perde il diritto a utilizzare l’immobile, non deve versare).</w:t>
      </w:r>
    </w:p>
    <w:p w:rsidR="00AB42BA" w:rsidRPr="0069075C" w:rsidRDefault="00AB42BA" w:rsidP="00AB42BA">
      <w:pPr>
        <w:spacing w:line="320" w:lineRule="exact"/>
        <w:ind w:left="360"/>
        <w:jc w:val="both"/>
        <w:rPr>
          <w:rFonts w:ascii="PT Sans" w:hAnsi="PT Sans" w:cs="Arial"/>
          <w:szCs w:val="22"/>
        </w:rPr>
      </w:pPr>
    </w:p>
    <w:p w:rsidR="00AB42BA" w:rsidRPr="0069075C" w:rsidRDefault="00AB42BA" w:rsidP="00AB42BA">
      <w:pPr>
        <w:pStyle w:val="sottoparagrafo"/>
        <w:spacing w:line="320" w:lineRule="exact"/>
        <w:rPr>
          <w:rFonts w:ascii="PT Sans" w:hAnsi="PT Sans"/>
          <w:i w:val="0"/>
          <w:iCs/>
          <w:u w:val="single"/>
        </w:rPr>
      </w:pPr>
      <w:r w:rsidRPr="0069075C">
        <w:rPr>
          <w:rFonts w:ascii="PT Sans" w:hAnsi="PT Sans"/>
          <w:iCs/>
        </w:rPr>
        <w:t>Tasi</w:t>
      </w:r>
    </w:p>
    <w:p w:rsidR="00AB42BA" w:rsidRPr="0069075C" w:rsidRDefault="00AB42BA" w:rsidP="00AB42BA">
      <w:pPr>
        <w:spacing w:line="320" w:lineRule="exact"/>
        <w:jc w:val="both"/>
        <w:rPr>
          <w:rFonts w:ascii="PT Sans" w:hAnsi="PT Sans" w:cs="Arial"/>
          <w:szCs w:val="22"/>
        </w:rPr>
      </w:pPr>
      <w:r w:rsidRPr="0069075C">
        <w:rPr>
          <w:rFonts w:ascii="PT Sans" w:hAnsi="PT Sans" w:cs="Arial"/>
          <w:szCs w:val="22"/>
        </w:rPr>
        <w:t>AI soli fini Tasi, l’imposta è dovuta:</w:t>
      </w:r>
    </w:p>
    <w:p w:rsidR="00AB42BA" w:rsidRPr="0069075C" w:rsidRDefault="00AB42BA" w:rsidP="00BB6277">
      <w:pPr>
        <w:pStyle w:val="Paragrafoelenco"/>
        <w:numPr>
          <w:ilvl w:val="0"/>
          <w:numId w:val="16"/>
        </w:numPr>
        <w:spacing w:line="320" w:lineRule="exact"/>
        <w:jc w:val="both"/>
        <w:rPr>
          <w:rFonts w:ascii="PT Sans" w:hAnsi="PT Sans" w:cs="Arial"/>
          <w:sz w:val="22"/>
          <w:szCs w:val="22"/>
        </w:rPr>
      </w:pPr>
      <w:r w:rsidRPr="0069075C">
        <w:rPr>
          <w:rFonts w:ascii="PT Sans" w:hAnsi="PT Sans" w:cs="Arial"/>
          <w:sz w:val="22"/>
          <w:szCs w:val="22"/>
        </w:rPr>
        <w:t>sia dal possessore dell’immobile (definito con le stesse regole previste ai fini Imu);</w:t>
      </w:r>
    </w:p>
    <w:p w:rsidR="00AB42BA" w:rsidRPr="0069075C" w:rsidRDefault="00AB42BA" w:rsidP="00BB6277">
      <w:pPr>
        <w:pStyle w:val="Paragrafoelenco"/>
        <w:numPr>
          <w:ilvl w:val="0"/>
          <w:numId w:val="16"/>
        </w:numPr>
        <w:spacing w:line="320" w:lineRule="exact"/>
        <w:jc w:val="both"/>
        <w:rPr>
          <w:rFonts w:ascii="PT Sans" w:hAnsi="PT Sans" w:cs="Arial"/>
          <w:sz w:val="22"/>
          <w:szCs w:val="22"/>
        </w:rPr>
      </w:pPr>
      <w:r w:rsidRPr="0069075C">
        <w:rPr>
          <w:rFonts w:ascii="PT Sans" w:hAnsi="PT Sans" w:cs="Arial"/>
          <w:sz w:val="22"/>
          <w:szCs w:val="22"/>
        </w:rPr>
        <w:t>che dal detentore.</w:t>
      </w:r>
    </w:p>
    <w:p w:rsidR="00AB42BA" w:rsidRPr="0069075C" w:rsidRDefault="00AB42BA" w:rsidP="00AB42BA">
      <w:pPr>
        <w:spacing w:line="320" w:lineRule="exact"/>
        <w:jc w:val="both"/>
        <w:rPr>
          <w:rFonts w:ascii="PT Sans" w:hAnsi="PT Sans" w:cs="Arial"/>
          <w:szCs w:val="22"/>
        </w:rPr>
      </w:pPr>
      <w:r w:rsidRPr="0069075C">
        <w:rPr>
          <w:rFonts w:ascii="PT Sans" w:hAnsi="PT Sans" w:cs="Arial"/>
          <w:szCs w:val="22"/>
        </w:rPr>
        <w:t>Per detentore si intende il soggetto che utilizza l’immobile in forza di un titolo diverso da un diritto reale. In particolare, sono detentori tenuti al pagamento della Tasi:</w:t>
      </w:r>
    </w:p>
    <w:p w:rsidR="00AB42BA" w:rsidRPr="0069075C" w:rsidRDefault="00AB42BA" w:rsidP="00BB6277">
      <w:pPr>
        <w:numPr>
          <w:ilvl w:val="0"/>
          <w:numId w:val="14"/>
        </w:numPr>
        <w:spacing w:line="320" w:lineRule="exact"/>
        <w:ind w:left="284" w:hanging="284"/>
        <w:jc w:val="both"/>
        <w:rPr>
          <w:rFonts w:ascii="PT Sans" w:hAnsi="PT Sans" w:cs="Arial"/>
          <w:szCs w:val="22"/>
        </w:rPr>
      </w:pPr>
      <w:r w:rsidRPr="0069075C">
        <w:rPr>
          <w:rFonts w:ascii="PT Sans" w:hAnsi="PT Sans" w:cs="Arial"/>
          <w:szCs w:val="22"/>
        </w:rPr>
        <w:t>l’inquilino, quando l’immobile è dato in locazione;</w:t>
      </w:r>
    </w:p>
    <w:p w:rsidR="00AB42BA" w:rsidRPr="0069075C" w:rsidRDefault="00AB42BA" w:rsidP="00BB6277">
      <w:pPr>
        <w:numPr>
          <w:ilvl w:val="0"/>
          <w:numId w:val="14"/>
        </w:numPr>
        <w:spacing w:line="320" w:lineRule="exact"/>
        <w:ind w:left="284" w:hanging="284"/>
        <w:jc w:val="both"/>
        <w:rPr>
          <w:rFonts w:ascii="PT Sans" w:hAnsi="PT Sans" w:cs="Arial"/>
          <w:szCs w:val="22"/>
        </w:rPr>
      </w:pPr>
      <w:r w:rsidRPr="0069075C">
        <w:rPr>
          <w:rFonts w:ascii="PT Sans" w:hAnsi="PT Sans" w:cs="Arial"/>
          <w:szCs w:val="22"/>
        </w:rPr>
        <w:t>il comodatario, quando l’immobile è oggetto di comodato;</w:t>
      </w:r>
    </w:p>
    <w:p w:rsidR="00AB42BA" w:rsidRPr="0069075C" w:rsidRDefault="00AB42BA" w:rsidP="00BB6277">
      <w:pPr>
        <w:numPr>
          <w:ilvl w:val="0"/>
          <w:numId w:val="14"/>
        </w:numPr>
        <w:spacing w:line="320" w:lineRule="exact"/>
        <w:ind w:left="284" w:hanging="284"/>
        <w:jc w:val="both"/>
        <w:rPr>
          <w:rFonts w:ascii="PT Sans" w:hAnsi="PT Sans" w:cs="Arial"/>
          <w:szCs w:val="22"/>
        </w:rPr>
      </w:pPr>
      <w:r w:rsidRPr="0069075C">
        <w:rPr>
          <w:rFonts w:ascii="PT Sans" w:hAnsi="PT Sans" w:cs="Arial"/>
          <w:szCs w:val="22"/>
        </w:rPr>
        <w:t>l’affittuario, quando l’immobile è oggetto di un contratto di affitto di azienda.</w:t>
      </w:r>
    </w:p>
    <w:p w:rsidR="00AB42BA" w:rsidRPr="0069075C" w:rsidRDefault="00AB42BA" w:rsidP="00AB42BA">
      <w:pPr>
        <w:spacing w:line="320" w:lineRule="exact"/>
        <w:jc w:val="both"/>
        <w:rPr>
          <w:rFonts w:ascii="PT Sans" w:hAnsi="PT Sans" w:cs="Arial"/>
          <w:szCs w:val="22"/>
        </w:rPr>
      </w:pPr>
      <w:r w:rsidRPr="0069075C">
        <w:rPr>
          <w:rFonts w:ascii="PT Sans" w:hAnsi="PT Sans" w:cs="Arial"/>
          <w:szCs w:val="22"/>
        </w:rPr>
        <w:t>La Tasi complessivamente dovuta in relazione all’immobile deve essere ripartita tra possessore e detentore. La misura della ripartizione è decisa dal Comune tramite proprio regolamento: l’imposta a carico del detentore deve essere compresa tra il 10% ed il 30% dell’imposta complessivamente dovuta sull’immobile (la parte rimanente è a carico del possessore). Se il Comune nulla prevede al riguardo, la quota a carico del detentore è del 10%.</w:t>
      </w:r>
    </w:p>
    <w:p w:rsidR="00AB42BA" w:rsidRPr="0069075C" w:rsidRDefault="00AB42BA" w:rsidP="00AB42BA">
      <w:pPr>
        <w:spacing w:line="320" w:lineRule="exact"/>
        <w:jc w:val="both"/>
        <w:rPr>
          <w:rFonts w:ascii="PT Sans" w:hAnsi="PT Sans" w:cs="Arial"/>
          <w:szCs w:val="22"/>
        </w:rPr>
      </w:pPr>
      <w:r w:rsidRPr="0069075C">
        <w:rPr>
          <w:rFonts w:ascii="PT Sans" w:hAnsi="PT Sans" w:cs="Arial"/>
          <w:szCs w:val="22"/>
        </w:rPr>
        <w:t xml:space="preserve">L’imposta deve essere determinata secondo le condizioni soggettive del possessore. </w:t>
      </w:r>
    </w:p>
    <w:p w:rsidR="00AB42BA" w:rsidRPr="0069075C" w:rsidRDefault="00AB42BA" w:rsidP="00AB42BA">
      <w:pPr>
        <w:spacing w:line="320" w:lineRule="exact"/>
        <w:jc w:val="both"/>
        <w:rPr>
          <w:rFonts w:ascii="PT Sans" w:hAnsi="PT Sans" w:cs="Arial"/>
          <w:szCs w:val="22"/>
        </w:rPr>
      </w:pPr>
      <w:r w:rsidRPr="0069075C">
        <w:rPr>
          <w:rFonts w:ascii="PT Sans" w:hAnsi="PT Sans" w:cs="Arial"/>
          <w:szCs w:val="22"/>
        </w:rPr>
        <w:t>Se l’immobile è destinato ad abitazione principale, l’esonero dal versamento della Tasi spetta solo all’utilizzatore; il possessore, al contrario, sulla quota di sua pertinenza, dovrà pagare regolarmente su tale immobile sia l’Imu che la Tasi.</w:t>
      </w:r>
    </w:p>
    <w:p w:rsidR="00AB42BA" w:rsidRPr="0069075C" w:rsidRDefault="00AB42BA" w:rsidP="00AB42BA">
      <w:pPr>
        <w:spacing w:line="320" w:lineRule="exact"/>
        <w:jc w:val="both"/>
        <w:rPr>
          <w:rFonts w:ascii="PT Sans" w:hAnsi="PT Sans" w:cs="Arial"/>
          <w:szCs w:val="22"/>
        </w:rPr>
      </w:pPr>
    </w:p>
    <w:p w:rsidR="00AB42BA" w:rsidRPr="0069075C" w:rsidRDefault="00AB42BA" w:rsidP="00AB42BA">
      <w:pPr>
        <w:pStyle w:val="Corpodeltesto2"/>
        <w:spacing w:line="320" w:lineRule="exact"/>
        <w:rPr>
          <w:rFonts w:ascii="PT Sans" w:hAnsi="PT Sans"/>
          <w:b/>
          <w:color w:val="006EB7"/>
          <w:sz w:val="22"/>
        </w:rPr>
      </w:pPr>
      <w:r w:rsidRPr="0069075C">
        <w:rPr>
          <w:rFonts w:ascii="PT Sans" w:hAnsi="PT Sans"/>
          <w:b/>
          <w:color w:val="006EB7"/>
          <w:sz w:val="22"/>
        </w:rPr>
        <w:t xml:space="preserve">Gli immobili interessati </w:t>
      </w:r>
    </w:p>
    <w:p w:rsidR="00AB42BA" w:rsidRPr="0069075C" w:rsidRDefault="00AB42BA" w:rsidP="00AB42BA">
      <w:pPr>
        <w:spacing w:line="320" w:lineRule="exact"/>
        <w:jc w:val="both"/>
        <w:rPr>
          <w:rFonts w:ascii="PT Sans" w:hAnsi="PT Sans" w:cs="Arial"/>
          <w:spacing w:val="-4"/>
          <w:szCs w:val="22"/>
        </w:rPr>
      </w:pPr>
      <w:r w:rsidRPr="0069075C">
        <w:rPr>
          <w:rFonts w:ascii="PT Sans" w:hAnsi="PT Sans" w:cs="Arial"/>
          <w:spacing w:val="-4"/>
          <w:szCs w:val="22"/>
        </w:rPr>
        <w:lastRenderedPageBreak/>
        <w:t>L’Imu e la Tasi si devono versare con riferimento agli immobili posseduti sul territorio di ciascun Comune.</w:t>
      </w:r>
    </w:p>
    <w:p w:rsidR="00AB42BA" w:rsidRPr="0069075C" w:rsidRDefault="00AB42BA" w:rsidP="00AB42BA">
      <w:pPr>
        <w:spacing w:line="320" w:lineRule="exact"/>
        <w:jc w:val="both"/>
        <w:rPr>
          <w:rFonts w:ascii="PT Sans" w:hAnsi="PT Sans" w:cs="Arial"/>
          <w:szCs w:val="22"/>
        </w:rPr>
      </w:pPr>
      <w:r w:rsidRPr="0069075C">
        <w:rPr>
          <w:rFonts w:ascii="PT Sans" w:hAnsi="PT Sans" w:cs="Arial"/>
          <w:szCs w:val="22"/>
        </w:rPr>
        <w:t>L’abitazione principale è esente da Imu e da Tasi.</w:t>
      </w:r>
    </w:p>
    <w:p w:rsidR="00AB42BA" w:rsidRPr="0069075C" w:rsidRDefault="00AB42BA" w:rsidP="00AB42BA">
      <w:pPr>
        <w:spacing w:line="260" w:lineRule="exact"/>
        <w:jc w:val="both"/>
        <w:rPr>
          <w:rFonts w:ascii="PT Sans" w:hAnsi="PT Sans" w:cs="Arial"/>
          <w:szCs w:val="22"/>
        </w:rPr>
      </w:pPr>
    </w:p>
    <w:tbl>
      <w:tblPr>
        <w:tblW w:w="0" w:type="auto"/>
        <w:tblInd w:w="122" w:type="dxa"/>
        <w:tblLook w:val="04A0" w:firstRow="1" w:lastRow="0" w:firstColumn="1" w:lastColumn="0" w:noHBand="0" w:noVBand="1"/>
      </w:tblPr>
      <w:tblGrid>
        <w:gridCol w:w="3703"/>
        <w:gridCol w:w="730"/>
        <w:gridCol w:w="2180"/>
        <w:gridCol w:w="293"/>
        <w:gridCol w:w="2610"/>
      </w:tblGrid>
      <w:tr w:rsidR="00AB42BA" w:rsidRPr="0069075C" w:rsidTr="006D664E">
        <w:trPr>
          <w:trHeight w:val="297"/>
        </w:trPr>
        <w:tc>
          <w:tcPr>
            <w:tcW w:w="3703" w:type="dxa"/>
            <w:shd w:val="clear" w:color="auto" w:fill="auto"/>
            <w:vAlign w:val="center"/>
          </w:tcPr>
          <w:p w:rsidR="00AB42BA" w:rsidRPr="0069075C" w:rsidRDefault="00AB42BA" w:rsidP="006D664E">
            <w:pPr>
              <w:spacing w:line="320" w:lineRule="exact"/>
              <w:contextualSpacing/>
              <w:jc w:val="both"/>
              <w:rPr>
                <w:rFonts w:ascii="PT Sans" w:hAnsi="PT Sans"/>
                <w:sz w:val="20"/>
                <w:szCs w:val="20"/>
              </w:rPr>
            </w:pPr>
          </w:p>
        </w:tc>
        <w:tc>
          <w:tcPr>
            <w:tcW w:w="730" w:type="dxa"/>
            <w:shd w:val="clear" w:color="auto" w:fill="auto"/>
            <w:vAlign w:val="center"/>
          </w:tcPr>
          <w:p w:rsidR="00AB42BA" w:rsidRPr="0069075C" w:rsidRDefault="00AB42BA" w:rsidP="006D664E">
            <w:pPr>
              <w:spacing w:line="320" w:lineRule="exact"/>
              <w:contextualSpacing/>
              <w:jc w:val="both"/>
              <w:rPr>
                <w:rFonts w:ascii="PT Sans" w:hAnsi="PT Sans"/>
                <w:sz w:val="20"/>
                <w:szCs w:val="20"/>
              </w:rPr>
            </w:pPr>
          </w:p>
        </w:tc>
        <w:tc>
          <w:tcPr>
            <w:tcW w:w="2180" w:type="dxa"/>
            <w:shd w:val="clear" w:color="auto" w:fill="006EB7"/>
            <w:vAlign w:val="center"/>
          </w:tcPr>
          <w:p w:rsidR="00AB42BA" w:rsidRPr="0069075C" w:rsidRDefault="00AB42BA" w:rsidP="006D664E">
            <w:pPr>
              <w:spacing w:line="320" w:lineRule="exact"/>
              <w:contextualSpacing/>
              <w:jc w:val="center"/>
              <w:rPr>
                <w:rFonts w:ascii="PT Sans" w:hAnsi="PT Sans"/>
                <w:b/>
                <w:color w:val="FFFFFF"/>
                <w:sz w:val="20"/>
                <w:szCs w:val="20"/>
              </w:rPr>
            </w:pPr>
            <w:r w:rsidRPr="0069075C">
              <w:rPr>
                <w:rFonts w:ascii="PT Sans" w:hAnsi="PT Sans"/>
                <w:b/>
                <w:color w:val="FFFFFF"/>
                <w:sz w:val="20"/>
                <w:szCs w:val="20"/>
              </w:rPr>
              <w:t>Imu</w:t>
            </w:r>
          </w:p>
        </w:tc>
        <w:tc>
          <w:tcPr>
            <w:tcW w:w="293" w:type="dxa"/>
            <w:vAlign w:val="center"/>
          </w:tcPr>
          <w:p w:rsidR="00AB42BA" w:rsidRPr="0069075C" w:rsidRDefault="00AB42BA" w:rsidP="006D664E">
            <w:pPr>
              <w:spacing w:line="320" w:lineRule="exact"/>
              <w:contextualSpacing/>
              <w:jc w:val="center"/>
              <w:rPr>
                <w:rFonts w:ascii="PT Sans" w:hAnsi="PT Sans"/>
                <w:sz w:val="20"/>
                <w:szCs w:val="20"/>
              </w:rPr>
            </w:pPr>
          </w:p>
        </w:tc>
        <w:tc>
          <w:tcPr>
            <w:tcW w:w="2610" w:type="dxa"/>
            <w:shd w:val="clear" w:color="auto" w:fill="006EB7"/>
            <w:vAlign w:val="center"/>
          </w:tcPr>
          <w:p w:rsidR="00AB42BA" w:rsidRPr="0069075C" w:rsidRDefault="00AB42BA" w:rsidP="006D664E">
            <w:pPr>
              <w:spacing w:line="320" w:lineRule="exact"/>
              <w:contextualSpacing/>
              <w:jc w:val="center"/>
              <w:rPr>
                <w:rFonts w:ascii="PT Sans" w:hAnsi="PT Sans"/>
                <w:b/>
                <w:color w:val="FFFFFF"/>
                <w:sz w:val="20"/>
                <w:szCs w:val="20"/>
              </w:rPr>
            </w:pPr>
            <w:r w:rsidRPr="0069075C">
              <w:rPr>
                <w:rFonts w:ascii="PT Sans" w:hAnsi="PT Sans"/>
                <w:b/>
                <w:color w:val="FFFFFF"/>
                <w:sz w:val="20"/>
                <w:szCs w:val="20"/>
              </w:rPr>
              <w:t>Tasi</w:t>
            </w:r>
          </w:p>
        </w:tc>
      </w:tr>
      <w:tr w:rsidR="00AB42BA" w:rsidRPr="0069075C" w:rsidTr="006D664E">
        <w:trPr>
          <w:trHeight w:val="197"/>
        </w:trPr>
        <w:tc>
          <w:tcPr>
            <w:tcW w:w="3703" w:type="dxa"/>
            <w:tcBorders>
              <w:bottom w:val="single" w:sz="4" w:space="0" w:color="006EB7"/>
            </w:tcBorders>
            <w:shd w:val="clear" w:color="auto" w:fill="auto"/>
            <w:vAlign w:val="center"/>
          </w:tcPr>
          <w:p w:rsidR="00AB42BA" w:rsidRPr="0069075C" w:rsidRDefault="00AB42BA" w:rsidP="006D664E">
            <w:pPr>
              <w:spacing w:line="220" w:lineRule="exact"/>
              <w:contextualSpacing/>
              <w:jc w:val="both"/>
              <w:rPr>
                <w:rFonts w:ascii="PT Sans" w:hAnsi="PT Sans"/>
                <w:sz w:val="20"/>
                <w:szCs w:val="20"/>
              </w:rPr>
            </w:pPr>
          </w:p>
        </w:tc>
        <w:tc>
          <w:tcPr>
            <w:tcW w:w="730" w:type="dxa"/>
            <w:shd w:val="clear" w:color="auto" w:fill="auto"/>
            <w:vAlign w:val="center"/>
          </w:tcPr>
          <w:p w:rsidR="00AB42BA" w:rsidRPr="0069075C" w:rsidRDefault="00AB42BA" w:rsidP="006D664E">
            <w:pPr>
              <w:spacing w:line="220" w:lineRule="exact"/>
              <w:contextualSpacing/>
              <w:jc w:val="both"/>
              <w:rPr>
                <w:rFonts w:ascii="PT Sans" w:hAnsi="PT Sans"/>
                <w:sz w:val="20"/>
                <w:szCs w:val="20"/>
              </w:rPr>
            </w:pPr>
          </w:p>
        </w:tc>
        <w:tc>
          <w:tcPr>
            <w:tcW w:w="2180" w:type="dxa"/>
            <w:tcBorders>
              <w:bottom w:val="single" w:sz="4" w:space="0" w:color="006EB7"/>
            </w:tcBorders>
            <w:vAlign w:val="center"/>
          </w:tcPr>
          <w:p w:rsidR="00AB42BA" w:rsidRPr="0069075C" w:rsidRDefault="00AB42BA" w:rsidP="006D664E">
            <w:pPr>
              <w:spacing w:line="220" w:lineRule="exact"/>
              <w:contextualSpacing/>
              <w:jc w:val="center"/>
              <w:rPr>
                <w:rFonts w:ascii="PT Sans" w:hAnsi="PT Sans"/>
                <w:sz w:val="20"/>
                <w:szCs w:val="20"/>
              </w:rPr>
            </w:pPr>
          </w:p>
        </w:tc>
        <w:tc>
          <w:tcPr>
            <w:tcW w:w="293" w:type="dxa"/>
            <w:vAlign w:val="center"/>
          </w:tcPr>
          <w:p w:rsidR="00AB42BA" w:rsidRPr="0069075C" w:rsidRDefault="00AB42BA" w:rsidP="006D664E">
            <w:pPr>
              <w:spacing w:line="220" w:lineRule="exact"/>
              <w:contextualSpacing/>
              <w:jc w:val="center"/>
              <w:rPr>
                <w:rFonts w:ascii="PT Sans" w:hAnsi="PT Sans"/>
                <w:sz w:val="20"/>
                <w:szCs w:val="20"/>
              </w:rPr>
            </w:pPr>
          </w:p>
        </w:tc>
        <w:tc>
          <w:tcPr>
            <w:tcW w:w="2610" w:type="dxa"/>
            <w:tcBorders>
              <w:bottom w:val="single" w:sz="4" w:space="0" w:color="006EB7"/>
            </w:tcBorders>
            <w:shd w:val="clear" w:color="auto" w:fill="auto"/>
            <w:vAlign w:val="center"/>
          </w:tcPr>
          <w:p w:rsidR="00AB42BA" w:rsidRPr="0069075C" w:rsidRDefault="00AB42BA" w:rsidP="006D664E">
            <w:pPr>
              <w:spacing w:line="220" w:lineRule="exact"/>
              <w:contextualSpacing/>
              <w:jc w:val="center"/>
              <w:rPr>
                <w:rFonts w:ascii="PT Sans" w:hAnsi="PT Sans"/>
                <w:sz w:val="20"/>
                <w:szCs w:val="20"/>
              </w:rPr>
            </w:pPr>
          </w:p>
        </w:tc>
      </w:tr>
      <w:tr w:rsidR="00AB42BA" w:rsidRPr="0069075C" w:rsidTr="006D664E">
        <w:trPr>
          <w:trHeight w:val="344"/>
        </w:trPr>
        <w:tc>
          <w:tcPr>
            <w:tcW w:w="3703" w:type="dxa"/>
            <w:tcBorders>
              <w:top w:val="single" w:sz="4" w:space="0" w:color="006EB7"/>
              <w:left w:val="single" w:sz="4" w:space="0" w:color="006EB7"/>
              <w:bottom w:val="single" w:sz="4" w:space="0" w:color="006EB7"/>
              <w:right w:val="single" w:sz="4" w:space="0" w:color="006EB7"/>
            </w:tcBorders>
            <w:shd w:val="clear" w:color="auto" w:fill="auto"/>
            <w:vAlign w:val="center"/>
          </w:tcPr>
          <w:p w:rsidR="00AB42BA" w:rsidRPr="0069075C" w:rsidRDefault="00AB42BA" w:rsidP="006D664E">
            <w:pPr>
              <w:spacing w:line="320" w:lineRule="exact"/>
              <w:contextualSpacing/>
              <w:jc w:val="center"/>
              <w:rPr>
                <w:rFonts w:ascii="PT Sans" w:hAnsi="PT Sans"/>
                <w:sz w:val="20"/>
                <w:szCs w:val="20"/>
              </w:rPr>
            </w:pPr>
            <w:r w:rsidRPr="0069075C">
              <w:rPr>
                <w:rFonts w:ascii="PT Sans" w:hAnsi="PT Sans"/>
                <w:sz w:val="20"/>
                <w:szCs w:val="20"/>
              </w:rPr>
              <w:t>Fabbricati</w:t>
            </w:r>
          </w:p>
        </w:tc>
        <w:tc>
          <w:tcPr>
            <w:tcW w:w="730" w:type="dxa"/>
            <w:tcBorders>
              <w:left w:val="single" w:sz="4" w:space="0" w:color="006EB7"/>
              <w:right w:val="single" w:sz="4" w:space="0" w:color="006EB7"/>
            </w:tcBorders>
            <w:shd w:val="clear" w:color="auto" w:fill="auto"/>
            <w:vAlign w:val="center"/>
          </w:tcPr>
          <w:p w:rsidR="00AB42BA" w:rsidRPr="0069075C" w:rsidRDefault="00AB42BA" w:rsidP="006D664E">
            <w:pPr>
              <w:spacing w:line="320" w:lineRule="exact"/>
              <w:contextualSpacing/>
              <w:jc w:val="center"/>
              <w:rPr>
                <w:rFonts w:ascii="PT Sans" w:hAnsi="PT Sans"/>
                <w:color w:val="006EB7"/>
                <w:sz w:val="20"/>
                <w:szCs w:val="20"/>
              </w:rPr>
            </w:pPr>
            <w:r w:rsidRPr="0069075C">
              <w:rPr>
                <w:rFonts w:ascii="PT Sans" w:hAnsi="PT Sans"/>
                <w:color w:val="0064B7"/>
                <w:sz w:val="20"/>
                <w:szCs w:val="20"/>
              </w:rPr>
              <w:sym w:font="Wingdings 3" w:char="F0C6"/>
            </w:r>
          </w:p>
        </w:tc>
        <w:tc>
          <w:tcPr>
            <w:tcW w:w="2180" w:type="dxa"/>
            <w:tcBorders>
              <w:top w:val="single" w:sz="4" w:space="0" w:color="006EB7"/>
              <w:left w:val="single" w:sz="4" w:space="0" w:color="006EB7"/>
              <w:bottom w:val="single" w:sz="4" w:space="0" w:color="006EB7"/>
              <w:right w:val="single" w:sz="4" w:space="0" w:color="006EB7"/>
            </w:tcBorders>
            <w:shd w:val="clear" w:color="auto" w:fill="auto"/>
            <w:vAlign w:val="center"/>
          </w:tcPr>
          <w:p w:rsidR="00AB42BA" w:rsidRPr="0069075C" w:rsidRDefault="00AB42BA" w:rsidP="006D664E">
            <w:pPr>
              <w:spacing w:line="320" w:lineRule="exact"/>
              <w:contextualSpacing/>
              <w:jc w:val="center"/>
              <w:rPr>
                <w:rFonts w:ascii="PT Sans" w:hAnsi="PT Sans"/>
                <w:sz w:val="20"/>
                <w:szCs w:val="20"/>
              </w:rPr>
            </w:pPr>
            <w:r w:rsidRPr="0069075C">
              <w:rPr>
                <w:rFonts w:ascii="PT Sans" w:hAnsi="PT Sans"/>
                <w:sz w:val="20"/>
                <w:szCs w:val="20"/>
              </w:rPr>
              <w:t>S</w:t>
            </w:r>
            <w:r>
              <w:rPr>
                <w:rFonts w:ascii="PT Sans" w:hAnsi="PT Sans"/>
                <w:sz w:val="20"/>
                <w:szCs w:val="20"/>
              </w:rPr>
              <w:t>ì</w:t>
            </w:r>
          </w:p>
        </w:tc>
        <w:tc>
          <w:tcPr>
            <w:tcW w:w="293" w:type="dxa"/>
            <w:tcBorders>
              <w:left w:val="single" w:sz="4" w:space="0" w:color="006EB7"/>
              <w:right w:val="single" w:sz="4" w:space="0" w:color="006EB7"/>
            </w:tcBorders>
            <w:vAlign w:val="center"/>
          </w:tcPr>
          <w:p w:rsidR="00AB42BA" w:rsidRPr="0069075C" w:rsidRDefault="00AB42BA" w:rsidP="006D664E">
            <w:pPr>
              <w:spacing w:line="320" w:lineRule="exact"/>
              <w:contextualSpacing/>
              <w:jc w:val="center"/>
              <w:rPr>
                <w:rFonts w:ascii="PT Sans" w:hAnsi="PT Sans"/>
                <w:sz w:val="20"/>
                <w:szCs w:val="20"/>
              </w:rPr>
            </w:pPr>
          </w:p>
        </w:tc>
        <w:tc>
          <w:tcPr>
            <w:tcW w:w="2610" w:type="dxa"/>
            <w:tcBorders>
              <w:top w:val="single" w:sz="4" w:space="0" w:color="006EB7"/>
              <w:left w:val="single" w:sz="4" w:space="0" w:color="006EB7"/>
              <w:bottom w:val="single" w:sz="4" w:space="0" w:color="006EB7"/>
              <w:right w:val="single" w:sz="4" w:space="0" w:color="006EB7"/>
            </w:tcBorders>
            <w:shd w:val="clear" w:color="auto" w:fill="auto"/>
            <w:vAlign w:val="center"/>
          </w:tcPr>
          <w:p w:rsidR="00AB42BA" w:rsidRPr="0069075C" w:rsidRDefault="00AB42BA" w:rsidP="006D664E">
            <w:pPr>
              <w:spacing w:line="320" w:lineRule="exact"/>
              <w:contextualSpacing/>
              <w:jc w:val="center"/>
              <w:rPr>
                <w:rFonts w:ascii="PT Sans" w:hAnsi="PT Sans"/>
                <w:sz w:val="20"/>
                <w:szCs w:val="20"/>
              </w:rPr>
            </w:pPr>
            <w:r w:rsidRPr="0069075C">
              <w:rPr>
                <w:rFonts w:ascii="PT Sans" w:hAnsi="PT Sans"/>
                <w:sz w:val="20"/>
                <w:szCs w:val="20"/>
              </w:rPr>
              <w:t>S</w:t>
            </w:r>
            <w:r>
              <w:rPr>
                <w:rFonts w:ascii="PT Sans" w:hAnsi="PT Sans"/>
                <w:sz w:val="20"/>
                <w:szCs w:val="20"/>
              </w:rPr>
              <w:t>ì</w:t>
            </w:r>
          </w:p>
        </w:tc>
      </w:tr>
      <w:tr w:rsidR="00AB42BA" w:rsidRPr="0069075C" w:rsidTr="006D664E">
        <w:trPr>
          <w:trHeight w:val="51"/>
        </w:trPr>
        <w:tc>
          <w:tcPr>
            <w:tcW w:w="3703" w:type="dxa"/>
            <w:tcBorders>
              <w:top w:val="single" w:sz="4" w:space="0" w:color="006EB7"/>
              <w:bottom w:val="single" w:sz="4" w:space="0" w:color="006EB7"/>
            </w:tcBorders>
            <w:shd w:val="clear" w:color="auto" w:fill="auto"/>
            <w:vAlign w:val="center"/>
          </w:tcPr>
          <w:p w:rsidR="00AB42BA" w:rsidRPr="0069075C" w:rsidRDefault="00AB42BA" w:rsidP="006D664E">
            <w:pPr>
              <w:spacing w:line="220" w:lineRule="exact"/>
              <w:contextualSpacing/>
              <w:jc w:val="both"/>
              <w:rPr>
                <w:rFonts w:ascii="PT Sans" w:hAnsi="PT Sans"/>
                <w:sz w:val="20"/>
                <w:szCs w:val="20"/>
              </w:rPr>
            </w:pPr>
          </w:p>
        </w:tc>
        <w:tc>
          <w:tcPr>
            <w:tcW w:w="730" w:type="dxa"/>
            <w:shd w:val="clear" w:color="auto" w:fill="auto"/>
            <w:vAlign w:val="center"/>
          </w:tcPr>
          <w:p w:rsidR="00AB42BA" w:rsidRPr="0069075C" w:rsidRDefault="00AB42BA" w:rsidP="006D664E">
            <w:pPr>
              <w:spacing w:line="220" w:lineRule="exact"/>
              <w:contextualSpacing/>
              <w:jc w:val="both"/>
              <w:rPr>
                <w:rFonts w:ascii="PT Sans" w:hAnsi="PT Sans"/>
                <w:color w:val="006EB7"/>
                <w:sz w:val="20"/>
                <w:szCs w:val="20"/>
              </w:rPr>
            </w:pPr>
          </w:p>
        </w:tc>
        <w:tc>
          <w:tcPr>
            <w:tcW w:w="2180" w:type="dxa"/>
            <w:tcBorders>
              <w:top w:val="single" w:sz="4" w:space="0" w:color="006EB7"/>
              <w:bottom w:val="single" w:sz="4" w:space="0" w:color="006EB7"/>
            </w:tcBorders>
            <w:vAlign w:val="center"/>
          </w:tcPr>
          <w:p w:rsidR="00AB42BA" w:rsidRPr="0069075C" w:rsidRDefault="00AB42BA" w:rsidP="006D664E">
            <w:pPr>
              <w:spacing w:line="220" w:lineRule="exact"/>
              <w:contextualSpacing/>
              <w:jc w:val="both"/>
              <w:rPr>
                <w:rFonts w:ascii="PT Sans" w:hAnsi="PT Sans"/>
                <w:sz w:val="20"/>
                <w:szCs w:val="20"/>
              </w:rPr>
            </w:pPr>
          </w:p>
        </w:tc>
        <w:tc>
          <w:tcPr>
            <w:tcW w:w="293" w:type="dxa"/>
            <w:vAlign w:val="center"/>
          </w:tcPr>
          <w:p w:rsidR="00AB42BA" w:rsidRPr="0069075C" w:rsidRDefault="00AB42BA" w:rsidP="006D664E">
            <w:pPr>
              <w:spacing w:line="220" w:lineRule="exact"/>
              <w:contextualSpacing/>
              <w:jc w:val="both"/>
              <w:rPr>
                <w:rFonts w:ascii="PT Sans" w:hAnsi="PT Sans"/>
                <w:sz w:val="20"/>
                <w:szCs w:val="20"/>
              </w:rPr>
            </w:pPr>
          </w:p>
        </w:tc>
        <w:tc>
          <w:tcPr>
            <w:tcW w:w="2610" w:type="dxa"/>
            <w:tcBorders>
              <w:top w:val="single" w:sz="4" w:space="0" w:color="006EB7"/>
              <w:bottom w:val="single" w:sz="4" w:space="0" w:color="006EB7"/>
            </w:tcBorders>
            <w:shd w:val="clear" w:color="auto" w:fill="auto"/>
            <w:vAlign w:val="center"/>
          </w:tcPr>
          <w:p w:rsidR="00AB42BA" w:rsidRPr="0069075C" w:rsidRDefault="00AB42BA" w:rsidP="006D664E">
            <w:pPr>
              <w:spacing w:line="220" w:lineRule="exact"/>
              <w:contextualSpacing/>
              <w:jc w:val="both"/>
              <w:rPr>
                <w:rFonts w:ascii="PT Sans" w:hAnsi="PT Sans"/>
                <w:sz w:val="20"/>
                <w:szCs w:val="20"/>
              </w:rPr>
            </w:pPr>
          </w:p>
        </w:tc>
      </w:tr>
      <w:tr w:rsidR="00AB42BA" w:rsidRPr="0069075C" w:rsidTr="006D664E">
        <w:trPr>
          <w:trHeight w:val="594"/>
        </w:trPr>
        <w:tc>
          <w:tcPr>
            <w:tcW w:w="3703" w:type="dxa"/>
            <w:tcBorders>
              <w:top w:val="single" w:sz="4" w:space="0" w:color="006EB7"/>
              <w:left w:val="single" w:sz="4" w:space="0" w:color="006EB7"/>
              <w:bottom w:val="single" w:sz="4" w:space="0" w:color="006EB7"/>
              <w:right w:val="single" w:sz="4" w:space="0" w:color="006EB7"/>
            </w:tcBorders>
            <w:shd w:val="clear" w:color="auto" w:fill="auto"/>
            <w:vAlign w:val="center"/>
          </w:tcPr>
          <w:p w:rsidR="00AB42BA" w:rsidRPr="0069075C" w:rsidRDefault="00AB42BA" w:rsidP="006D664E">
            <w:pPr>
              <w:spacing w:line="320" w:lineRule="exact"/>
              <w:contextualSpacing/>
              <w:jc w:val="center"/>
              <w:rPr>
                <w:rFonts w:ascii="PT Sans" w:hAnsi="PT Sans"/>
                <w:sz w:val="20"/>
                <w:szCs w:val="20"/>
              </w:rPr>
            </w:pPr>
            <w:r w:rsidRPr="0069075C">
              <w:rPr>
                <w:rFonts w:ascii="PT Sans" w:hAnsi="PT Sans"/>
                <w:sz w:val="20"/>
                <w:szCs w:val="20"/>
              </w:rPr>
              <w:t>Abitazione principale, pertinenze e fabbricati assimilati</w:t>
            </w:r>
          </w:p>
        </w:tc>
        <w:tc>
          <w:tcPr>
            <w:tcW w:w="730" w:type="dxa"/>
            <w:tcBorders>
              <w:left w:val="single" w:sz="4" w:space="0" w:color="006EB7"/>
              <w:right w:val="single" w:sz="4" w:space="0" w:color="006EB7"/>
            </w:tcBorders>
            <w:shd w:val="clear" w:color="auto" w:fill="auto"/>
            <w:vAlign w:val="center"/>
          </w:tcPr>
          <w:p w:rsidR="00AB42BA" w:rsidRPr="0069075C" w:rsidRDefault="00AB42BA" w:rsidP="006D664E">
            <w:pPr>
              <w:spacing w:line="320" w:lineRule="exact"/>
              <w:contextualSpacing/>
              <w:jc w:val="center"/>
              <w:rPr>
                <w:rFonts w:ascii="PT Sans" w:hAnsi="PT Sans"/>
                <w:color w:val="006EB7"/>
                <w:sz w:val="20"/>
                <w:szCs w:val="20"/>
              </w:rPr>
            </w:pPr>
            <w:r w:rsidRPr="0069075C">
              <w:rPr>
                <w:rFonts w:ascii="PT Sans" w:hAnsi="PT Sans"/>
                <w:color w:val="0064B7"/>
                <w:sz w:val="20"/>
                <w:szCs w:val="20"/>
              </w:rPr>
              <w:sym w:font="Wingdings 3" w:char="F0C6"/>
            </w:r>
          </w:p>
        </w:tc>
        <w:tc>
          <w:tcPr>
            <w:tcW w:w="2180" w:type="dxa"/>
            <w:tcBorders>
              <w:top w:val="single" w:sz="4" w:space="0" w:color="006EB7"/>
              <w:left w:val="single" w:sz="4" w:space="0" w:color="006EB7"/>
              <w:bottom w:val="single" w:sz="4" w:space="0" w:color="006EB7"/>
              <w:right w:val="single" w:sz="4" w:space="0" w:color="006EB7"/>
            </w:tcBorders>
            <w:vAlign w:val="center"/>
          </w:tcPr>
          <w:p w:rsidR="00AB42BA" w:rsidRPr="0069075C" w:rsidRDefault="00AB42BA" w:rsidP="006D664E">
            <w:pPr>
              <w:spacing w:line="320" w:lineRule="exact"/>
              <w:contextualSpacing/>
              <w:jc w:val="center"/>
              <w:rPr>
                <w:rFonts w:ascii="PT Sans" w:hAnsi="PT Sans"/>
                <w:sz w:val="20"/>
                <w:szCs w:val="20"/>
              </w:rPr>
            </w:pPr>
            <w:r w:rsidRPr="0069075C">
              <w:rPr>
                <w:rFonts w:ascii="PT Sans" w:hAnsi="PT Sans"/>
                <w:sz w:val="20"/>
                <w:szCs w:val="20"/>
              </w:rPr>
              <w:t>N</w:t>
            </w:r>
            <w:r>
              <w:rPr>
                <w:rFonts w:ascii="PT Sans" w:hAnsi="PT Sans"/>
                <w:sz w:val="20"/>
                <w:szCs w:val="20"/>
              </w:rPr>
              <w:t>o</w:t>
            </w:r>
          </w:p>
          <w:p w:rsidR="00AB42BA" w:rsidRPr="0069075C" w:rsidRDefault="00AB42BA" w:rsidP="006D664E">
            <w:pPr>
              <w:spacing w:line="320" w:lineRule="exact"/>
              <w:contextualSpacing/>
              <w:jc w:val="center"/>
              <w:rPr>
                <w:rFonts w:ascii="PT Sans" w:hAnsi="PT Sans"/>
                <w:sz w:val="20"/>
                <w:szCs w:val="20"/>
              </w:rPr>
            </w:pPr>
            <w:r w:rsidRPr="0069075C">
              <w:rPr>
                <w:rFonts w:ascii="PT Sans" w:hAnsi="PT Sans"/>
                <w:sz w:val="20"/>
                <w:szCs w:val="20"/>
              </w:rPr>
              <w:t>(solo A/1, A/8, A/9)</w:t>
            </w:r>
          </w:p>
        </w:tc>
        <w:tc>
          <w:tcPr>
            <w:tcW w:w="293" w:type="dxa"/>
            <w:tcBorders>
              <w:left w:val="single" w:sz="4" w:space="0" w:color="006EB7"/>
              <w:right w:val="single" w:sz="4" w:space="0" w:color="006EB7"/>
            </w:tcBorders>
            <w:vAlign w:val="center"/>
          </w:tcPr>
          <w:p w:rsidR="00AB42BA" w:rsidRPr="0069075C" w:rsidRDefault="00AB42BA" w:rsidP="006D664E">
            <w:pPr>
              <w:spacing w:line="320" w:lineRule="exact"/>
              <w:contextualSpacing/>
              <w:jc w:val="center"/>
              <w:rPr>
                <w:rFonts w:ascii="PT Sans" w:hAnsi="PT Sans"/>
                <w:sz w:val="20"/>
                <w:szCs w:val="20"/>
              </w:rPr>
            </w:pPr>
          </w:p>
        </w:tc>
        <w:tc>
          <w:tcPr>
            <w:tcW w:w="2610" w:type="dxa"/>
            <w:tcBorders>
              <w:top w:val="single" w:sz="4" w:space="0" w:color="006EB7"/>
              <w:left w:val="single" w:sz="4" w:space="0" w:color="006EB7"/>
              <w:bottom w:val="single" w:sz="4" w:space="0" w:color="006EB7"/>
              <w:right w:val="single" w:sz="4" w:space="0" w:color="006EB7"/>
            </w:tcBorders>
            <w:shd w:val="clear" w:color="auto" w:fill="auto"/>
            <w:vAlign w:val="center"/>
          </w:tcPr>
          <w:p w:rsidR="00AB42BA" w:rsidRPr="0069075C" w:rsidRDefault="00AB42BA" w:rsidP="006D664E">
            <w:pPr>
              <w:spacing w:line="320" w:lineRule="exact"/>
              <w:contextualSpacing/>
              <w:jc w:val="center"/>
              <w:rPr>
                <w:rFonts w:ascii="PT Sans" w:hAnsi="PT Sans"/>
                <w:sz w:val="20"/>
                <w:szCs w:val="20"/>
              </w:rPr>
            </w:pPr>
            <w:r w:rsidRPr="0069075C">
              <w:rPr>
                <w:rFonts w:ascii="PT Sans" w:hAnsi="PT Sans"/>
                <w:sz w:val="20"/>
                <w:szCs w:val="20"/>
              </w:rPr>
              <w:t>N</w:t>
            </w:r>
            <w:r>
              <w:rPr>
                <w:rFonts w:ascii="PT Sans" w:hAnsi="PT Sans"/>
                <w:sz w:val="20"/>
                <w:szCs w:val="20"/>
              </w:rPr>
              <w:t>o</w:t>
            </w:r>
          </w:p>
          <w:p w:rsidR="00AB42BA" w:rsidRPr="0069075C" w:rsidRDefault="00AB42BA" w:rsidP="006D664E">
            <w:pPr>
              <w:spacing w:line="320" w:lineRule="exact"/>
              <w:contextualSpacing/>
              <w:jc w:val="center"/>
              <w:rPr>
                <w:rFonts w:ascii="PT Sans" w:hAnsi="PT Sans"/>
                <w:sz w:val="20"/>
                <w:szCs w:val="20"/>
              </w:rPr>
            </w:pPr>
            <w:r w:rsidRPr="0069075C">
              <w:rPr>
                <w:rFonts w:ascii="PT Sans" w:hAnsi="PT Sans"/>
                <w:sz w:val="20"/>
                <w:szCs w:val="20"/>
              </w:rPr>
              <w:t>(solo A/1, A/8, A/9)</w:t>
            </w:r>
          </w:p>
        </w:tc>
      </w:tr>
      <w:tr w:rsidR="00AB42BA" w:rsidRPr="0069075C" w:rsidTr="006D664E">
        <w:trPr>
          <w:trHeight w:val="51"/>
        </w:trPr>
        <w:tc>
          <w:tcPr>
            <w:tcW w:w="3703" w:type="dxa"/>
            <w:tcBorders>
              <w:top w:val="single" w:sz="4" w:space="0" w:color="006EB7"/>
              <w:bottom w:val="single" w:sz="4" w:space="0" w:color="006EB7"/>
            </w:tcBorders>
            <w:shd w:val="clear" w:color="auto" w:fill="auto"/>
            <w:vAlign w:val="center"/>
          </w:tcPr>
          <w:p w:rsidR="00AB42BA" w:rsidRPr="0069075C" w:rsidRDefault="00AB42BA" w:rsidP="006D664E">
            <w:pPr>
              <w:spacing w:line="220" w:lineRule="exact"/>
              <w:contextualSpacing/>
              <w:jc w:val="both"/>
              <w:rPr>
                <w:rFonts w:ascii="PT Sans" w:hAnsi="PT Sans"/>
                <w:sz w:val="20"/>
                <w:szCs w:val="20"/>
              </w:rPr>
            </w:pPr>
          </w:p>
        </w:tc>
        <w:tc>
          <w:tcPr>
            <w:tcW w:w="730" w:type="dxa"/>
            <w:shd w:val="clear" w:color="auto" w:fill="auto"/>
            <w:vAlign w:val="center"/>
          </w:tcPr>
          <w:p w:rsidR="00AB42BA" w:rsidRPr="0069075C" w:rsidRDefault="00AB42BA" w:rsidP="006D664E">
            <w:pPr>
              <w:spacing w:line="220" w:lineRule="exact"/>
              <w:contextualSpacing/>
              <w:jc w:val="both"/>
              <w:rPr>
                <w:rFonts w:ascii="PT Sans" w:hAnsi="PT Sans"/>
                <w:color w:val="006EB7"/>
                <w:sz w:val="20"/>
                <w:szCs w:val="20"/>
              </w:rPr>
            </w:pPr>
          </w:p>
        </w:tc>
        <w:tc>
          <w:tcPr>
            <w:tcW w:w="2180" w:type="dxa"/>
            <w:tcBorders>
              <w:top w:val="single" w:sz="4" w:space="0" w:color="006EB7"/>
              <w:bottom w:val="single" w:sz="4" w:space="0" w:color="006EB7"/>
            </w:tcBorders>
            <w:vAlign w:val="center"/>
          </w:tcPr>
          <w:p w:rsidR="00AB42BA" w:rsidRPr="0069075C" w:rsidRDefault="00AB42BA" w:rsidP="006D664E">
            <w:pPr>
              <w:spacing w:line="220" w:lineRule="exact"/>
              <w:contextualSpacing/>
              <w:jc w:val="both"/>
              <w:rPr>
                <w:rFonts w:ascii="PT Sans" w:hAnsi="PT Sans"/>
                <w:sz w:val="20"/>
                <w:szCs w:val="20"/>
              </w:rPr>
            </w:pPr>
          </w:p>
        </w:tc>
        <w:tc>
          <w:tcPr>
            <w:tcW w:w="293" w:type="dxa"/>
            <w:vAlign w:val="center"/>
          </w:tcPr>
          <w:p w:rsidR="00AB42BA" w:rsidRPr="0069075C" w:rsidRDefault="00AB42BA" w:rsidP="006D664E">
            <w:pPr>
              <w:spacing w:line="220" w:lineRule="exact"/>
              <w:contextualSpacing/>
              <w:jc w:val="both"/>
              <w:rPr>
                <w:rFonts w:ascii="PT Sans" w:hAnsi="PT Sans"/>
                <w:sz w:val="20"/>
                <w:szCs w:val="20"/>
              </w:rPr>
            </w:pPr>
          </w:p>
        </w:tc>
        <w:tc>
          <w:tcPr>
            <w:tcW w:w="2610" w:type="dxa"/>
            <w:tcBorders>
              <w:top w:val="single" w:sz="4" w:space="0" w:color="006EB7"/>
              <w:bottom w:val="single" w:sz="4" w:space="0" w:color="006EB7"/>
            </w:tcBorders>
            <w:shd w:val="clear" w:color="auto" w:fill="auto"/>
            <w:vAlign w:val="center"/>
          </w:tcPr>
          <w:p w:rsidR="00AB42BA" w:rsidRPr="0069075C" w:rsidRDefault="00AB42BA" w:rsidP="006D664E">
            <w:pPr>
              <w:spacing w:line="220" w:lineRule="exact"/>
              <w:contextualSpacing/>
              <w:jc w:val="both"/>
              <w:rPr>
                <w:rFonts w:ascii="PT Sans" w:hAnsi="PT Sans"/>
                <w:sz w:val="20"/>
                <w:szCs w:val="20"/>
              </w:rPr>
            </w:pPr>
          </w:p>
        </w:tc>
      </w:tr>
      <w:tr w:rsidR="00AB42BA" w:rsidRPr="0069075C" w:rsidTr="006D664E">
        <w:trPr>
          <w:trHeight w:val="210"/>
        </w:trPr>
        <w:tc>
          <w:tcPr>
            <w:tcW w:w="3703" w:type="dxa"/>
            <w:tcBorders>
              <w:top w:val="single" w:sz="4" w:space="0" w:color="006EB7"/>
              <w:left w:val="single" w:sz="4" w:space="0" w:color="006EB7"/>
              <w:bottom w:val="single" w:sz="4" w:space="0" w:color="006EB7"/>
              <w:right w:val="single" w:sz="4" w:space="0" w:color="006EB7"/>
            </w:tcBorders>
            <w:shd w:val="clear" w:color="auto" w:fill="auto"/>
            <w:vAlign w:val="center"/>
          </w:tcPr>
          <w:p w:rsidR="00AB42BA" w:rsidRPr="0069075C" w:rsidRDefault="00AB42BA" w:rsidP="006D664E">
            <w:pPr>
              <w:spacing w:line="320" w:lineRule="exact"/>
              <w:contextualSpacing/>
              <w:jc w:val="center"/>
              <w:rPr>
                <w:rFonts w:ascii="PT Sans" w:hAnsi="PT Sans"/>
                <w:sz w:val="20"/>
                <w:szCs w:val="20"/>
              </w:rPr>
            </w:pPr>
            <w:r w:rsidRPr="0069075C">
              <w:rPr>
                <w:rFonts w:ascii="PT Sans" w:hAnsi="PT Sans"/>
                <w:sz w:val="20"/>
                <w:szCs w:val="20"/>
              </w:rPr>
              <w:t>Fabbricati rurali</w:t>
            </w:r>
          </w:p>
        </w:tc>
        <w:tc>
          <w:tcPr>
            <w:tcW w:w="730" w:type="dxa"/>
            <w:tcBorders>
              <w:left w:val="single" w:sz="4" w:space="0" w:color="006EB7"/>
              <w:right w:val="single" w:sz="4" w:space="0" w:color="006EB7"/>
            </w:tcBorders>
            <w:shd w:val="clear" w:color="auto" w:fill="auto"/>
            <w:vAlign w:val="center"/>
          </w:tcPr>
          <w:p w:rsidR="00AB42BA" w:rsidRPr="0069075C" w:rsidRDefault="00AB42BA" w:rsidP="006D664E">
            <w:pPr>
              <w:spacing w:line="320" w:lineRule="exact"/>
              <w:contextualSpacing/>
              <w:jc w:val="center"/>
              <w:rPr>
                <w:rFonts w:ascii="PT Sans" w:hAnsi="PT Sans"/>
                <w:color w:val="006EB7"/>
                <w:sz w:val="20"/>
                <w:szCs w:val="20"/>
              </w:rPr>
            </w:pPr>
            <w:r w:rsidRPr="0069075C">
              <w:rPr>
                <w:rFonts w:ascii="PT Sans" w:hAnsi="PT Sans"/>
                <w:color w:val="0064B7"/>
                <w:sz w:val="20"/>
                <w:szCs w:val="20"/>
              </w:rPr>
              <w:sym w:font="Wingdings 3" w:char="F0C6"/>
            </w:r>
          </w:p>
        </w:tc>
        <w:tc>
          <w:tcPr>
            <w:tcW w:w="2180" w:type="dxa"/>
            <w:tcBorders>
              <w:top w:val="single" w:sz="4" w:space="0" w:color="006EB7"/>
              <w:left w:val="single" w:sz="4" w:space="0" w:color="006EB7"/>
              <w:bottom w:val="single" w:sz="4" w:space="0" w:color="006EB7"/>
              <w:right w:val="single" w:sz="4" w:space="0" w:color="006EB7"/>
            </w:tcBorders>
            <w:vAlign w:val="center"/>
          </w:tcPr>
          <w:p w:rsidR="00AB42BA" w:rsidRPr="0069075C" w:rsidRDefault="00AB42BA" w:rsidP="006D664E">
            <w:pPr>
              <w:spacing w:line="320" w:lineRule="exact"/>
              <w:contextualSpacing/>
              <w:jc w:val="center"/>
              <w:rPr>
                <w:rFonts w:ascii="PT Sans" w:hAnsi="PT Sans"/>
                <w:sz w:val="20"/>
                <w:szCs w:val="20"/>
              </w:rPr>
            </w:pPr>
            <w:r w:rsidRPr="0069075C">
              <w:rPr>
                <w:rFonts w:ascii="PT Sans" w:hAnsi="PT Sans"/>
                <w:sz w:val="20"/>
                <w:szCs w:val="20"/>
              </w:rPr>
              <w:t>N</w:t>
            </w:r>
            <w:r>
              <w:rPr>
                <w:rFonts w:ascii="PT Sans" w:hAnsi="PT Sans"/>
                <w:sz w:val="20"/>
                <w:szCs w:val="20"/>
              </w:rPr>
              <w:t>o</w:t>
            </w:r>
          </w:p>
        </w:tc>
        <w:tc>
          <w:tcPr>
            <w:tcW w:w="293" w:type="dxa"/>
            <w:tcBorders>
              <w:left w:val="single" w:sz="4" w:space="0" w:color="006EB7"/>
              <w:right w:val="single" w:sz="4" w:space="0" w:color="006EB7"/>
            </w:tcBorders>
            <w:vAlign w:val="center"/>
          </w:tcPr>
          <w:p w:rsidR="00AB42BA" w:rsidRPr="0069075C" w:rsidRDefault="00AB42BA" w:rsidP="006D664E">
            <w:pPr>
              <w:spacing w:line="320" w:lineRule="exact"/>
              <w:contextualSpacing/>
              <w:jc w:val="center"/>
              <w:rPr>
                <w:rFonts w:ascii="PT Sans" w:hAnsi="PT Sans"/>
                <w:sz w:val="20"/>
                <w:szCs w:val="20"/>
              </w:rPr>
            </w:pPr>
          </w:p>
        </w:tc>
        <w:tc>
          <w:tcPr>
            <w:tcW w:w="2610" w:type="dxa"/>
            <w:tcBorders>
              <w:top w:val="single" w:sz="4" w:space="0" w:color="006EB7"/>
              <w:left w:val="single" w:sz="4" w:space="0" w:color="006EB7"/>
              <w:bottom w:val="single" w:sz="4" w:space="0" w:color="006EB7"/>
              <w:right w:val="single" w:sz="4" w:space="0" w:color="006EB7"/>
            </w:tcBorders>
            <w:shd w:val="clear" w:color="auto" w:fill="auto"/>
            <w:vAlign w:val="center"/>
          </w:tcPr>
          <w:p w:rsidR="00AB42BA" w:rsidRPr="0069075C" w:rsidRDefault="00AB42BA" w:rsidP="006D664E">
            <w:pPr>
              <w:spacing w:line="320" w:lineRule="exact"/>
              <w:contextualSpacing/>
              <w:jc w:val="center"/>
              <w:rPr>
                <w:rFonts w:ascii="PT Sans" w:hAnsi="PT Sans"/>
                <w:sz w:val="20"/>
                <w:szCs w:val="20"/>
              </w:rPr>
            </w:pPr>
            <w:r w:rsidRPr="0069075C">
              <w:rPr>
                <w:rFonts w:ascii="PT Sans" w:hAnsi="PT Sans"/>
                <w:sz w:val="20"/>
                <w:szCs w:val="20"/>
              </w:rPr>
              <w:t>S</w:t>
            </w:r>
            <w:r>
              <w:rPr>
                <w:rFonts w:ascii="PT Sans" w:hAnsi="PT Sans"/>
                <w:sz w:val="20"/>
                <w:szCs w:val="20"/>
              </w:rPr>
              <w:t>ì</w:t>
            </w:r>
          </w:p>
        </w:tc>
      </w:tr>
      <w:tr w:rsidR="00AB42BA" w:rsidRPr="0069075C" w:rsidTr="006D664E">
        <w:trPr>
          <w:trHeight w:val="51"/>
        </w:trPr>
        <w:tc>
          <w:tcPr>
            <w:tcW w:w="3703" w:type="dxa"/>
            <w:tcBorders>
              <w:top w:val="single" w:sz="4" w:space="0" w:color="006EB7"/>
              <w:bottom w:val="single" w:sz="4" w:space="0" w:color="006EB7"/>
            </w:tcBorders>
            <w:shd w:val="clear" w:color="auto" w:fill="auto"/>
            <w:vAlign w:val="center"/>
          </w:tcPr>
          <w:p w:rsidR="00AB42BA" w:rsidRPr="0069075C" w:rsidRDefault="00AB42BA" w:rsidP="006D664E">
            <w:pPr>
              <w:spacing w:line="220" w:lineRule="exact"/>
              <w:contextualSpacing/>
              <w:jc w:val="both"/>
              <w:rPr>
                <w:rFonts w:ascii="PT Sans" w:hAnsi="PT Sans"/>
                <w:sz w:val="20"/>
                <w:szCs w:val="20"/>
              </w:rPr>
            </w:pPr>
          </w:p>
        </w:tc>
        <w:tc>
          <w:tcPr>
            <w:tcW w:w="730" w:type="dxa"/>
            <w:shd w:val="clear" w:color="auto" w:fill="auto"/>
            <w:vAlign w:val="center"/>
          </w:tcPr>
          <w:p w:rsidR="00AB42BA" w:rsidRPr="0069075C" w:rsidRDefault="00AB42BA" w:rsidP="006D664E">
            <w:pPr>
              <w:spacing w:line="220" w:lineRule="exact"/>
              <w:contextualSpacing/>
              <w:jc w:val="both"/>
              <w:rPr>
                <w:rFonts w:ascii="PT Sans" w:hAnsi="PT Sans"/>
                <w:color w:val="006EB7"/>
                <w:sz w:val="20"/>
                <w:szCs w:val="20"/>
              </w:rPr>
            </w:pPr>
          </w:p>
        </w:tc>
        <w:tc>
          <w:tcPr>
            <w:tcW w:w="2180" w:type="dxa"/>
            <w:tcBorders>
              <w:top w:val="single" w:sz="4" w:space="0" w:color="006EB7"/>
              <w:bottom w:val="single" w:sz="4" w:space="0" w:color="006EB7"/>
            </w:tcBorders>
            <w:vAlign w:val="center"/>
          </w:tcPr>
          <w:p w:rsidR="00AB42BA" w:rsidRPr="0069075C" w:rsidRDefault="00AB42BA" w:rsidP="006D664E">
            <w:pPr>
              <w:spacing w:line="220" w:lineRule="exact"/>
              <w:contextualSpacing/>
              <w:jc w:val="both"/>
              <w:rPr>
                <w:rFonts w:ascii="PT Sans" w:hAnsi="PT Sans"/>
                <w:sz w:val="20"/>
                <w:szCs w:val="20"/>
              </w:rPr>
            </w:pPr>
          </w:p>
        </w:tc>
        <w:tc>
          <w:tcPr>
            <w:tcW w:w="293" w:type="dxa"/>
            <w:vAlign w:val="center"/>
          </w:tcPr>
          <w:p w:rsidR="00AB42BA" w:rsidRPr="0069075C" w:rsidRDefault="00AB42BA" w:rsidP="006D664E">
            <w:pPr>
              <w:spacing w:line="220" w:lineRule="exact"/>
              <w:contextualSpacing/>
              <w:jc w:val="both"/>
              <w:rPr>
                <w:rFonts w:ascii="PT Sans" w:hAnsi="PT Sans"/>
                <w:sz w:val="20"/>
                <w:szCs w:val="20"/>
              </w:rPr>
            </w:pPr>
          </w:p>
        </w:tc>
        <w:tc>
          <w:tcPr>
            <w:tcW w:w="2610" w:type="dxa"/>
            <w:tcBorders>
              <w:top w:val="single" w:sz="4" w:space="0" w:color="006EB7"/>
              <w:bottom w:val="single" w:sz="4" w:space="0" w:color="006EB7"/>
            </w:tcBorders>
            <w:shd w:val="clear" w:color="auto" w:fill="auto"/>
            <w:vAlign w:val="center"/>
          </w:tcPr>
          <w:p w:rsidR="00AB42BA" w:rsidRPr="0069075C" w:rsidRDefault="00AB42BA" w:rsidP="006D664E">
            <w:pPr>
              <w:spacing w:line="220" w:lineRule="exact"/>
              <w:contextualSpacing/>
              <w:jc w:val="both"/>
              <w:rPr>
                <w:rFonts w:ascii="PT Sans" w:hAnsi="PT Sans"/>
                <w:sz w:val="20"/>
                <w:szCs w:val="20"/>
              </w:rPr>
            </w:pPr>
          </w:p>
        </w:tc>
      </w:tr>
      <w:tr w:rsidR="00AB42BA" w:rsidRPr="0069075C" w:rsidTr="006D664E">
        <w:trPr>
          <w:trHeight w:val="210"/>
        </w:trPr>
        <w:tc>
          <w:tcPr>
            <w:tcW w:w="3703" w:type="dxa"/>
            <w:tcBorders>
              <w:top w:val="single" w:sz="4" w:space="0" w:color="006EB7"/>
              <w:left w:val="single" w:sz="4" w:space="0" w:color="006EB7"/>
              <w:bottom w:val="single" w:sz="4" w:space="0" w:color="006EB7"/>
              <w:right w:val="single" w:sz="4" w:space="0" w:color="006EB7"/>
            </w:tcBorders>
            <w:shd w:val="clear" w:color="auto" w:fill="auto"/>
            <w:vAlign w:val="center"/>
          </w:tcPr>
          <w:p w:rsidR="00AB42BA" w:rsidRPr="0069075C" w:rsidRDefault="00AB42BA" w:rsidP="006D664E">
            <w:pPr>
              <w:spacing w:line="320" w:lineRule="exact"/>
              <w:contextualSpacing/>
              <w:jc w:val="center"/>
              <w:rPr>
                <w:rFonts w:ascii="PT Sans" w:hAnsi="PT Sans"/>
                <w:sz w:val="20"/>
                <w:szCs w:val="20"/>
              </w:rPr>
            </w:pPr>
            <w:r w:rsidRPr="0069075C">
              <w:rPr>
                <w:rFonts w:ascii="PT Sans" w:hAnsi="PT Sans"/>
                <w:sz w:val="20"/>
                <w:szCs w:val="20"/>
              </w:rPr>
              <w:t>Aree fabbricabili</w:t>
            </w:r>
          </w:p>
        </w:tc>
        <w:tc>
          <w:tcPr>
            <w:tcW w:w="730" w:type="dxa"/>
            <w:tcBorders>
              <w:left w:val="single" w:sz="4" w:space="0" w:color="006EB7"/>
              <w:right w:val="single" w:sz="4" w:space="0" w:color="006EB7"/>
            </w:tcBorders>
            <w:shd w:val="clear" w:color="auto" w:fill="auto"/>
            <w:vAlign w:val="center"/>
          </w:tcPr>
          <w:p w:rsidR="00AB42BA" w:rsidRPr="0069075C" w:rsidRDefault="00AB42BA" w:rsidP="006D664E">
            <w:pPr>
              <w:spacing w:line="320" w:lineRule="exact"/>
              <w:contextualSpacing/>
              <w:jc w:val="center"/>
              <w:rPr>
                <w:rFonts w:ascii="PT Sans" w:hAnsi="PT Sans"/>
                <w:color w:val="006EB7"/>
                <w:sz w:val="20"/>
                <w:szCs w:val="20"/>
              </w:rPr>
            </w:pPr>
            <w:r w:rsidRPr="0069075C">
              <w:rPr>
                <w:rFonts w:ascii="PT Sans" w:hAnsi="PT Sans"/>
                <w:color w:val="0064B7"/>
                <w:sz w:val="20"/>
                <w:szCs w:val="20"/>
              </w:rPr>
              <w:sym w:font="Wingdings 3" w:char="F0C6"/>
            </w:r>
          </w:p>
        </w:tc>
        <w:tc>
          <w:tcPr>
            <w:tcW w:w="2180" w:type="dxa"/>
            <w:tcBorders>
              <w:top w:val="single" w:sz="4" w:space="0" w:color="006EB7"/>
              <w:left w:val="single" w:sz="4" w:space="0" w:color="006EB7"/>
              <w:bottom w:val="single" w:sz="4" w:space="0" w:color="006EB7"/>
              <w:right w:val="single" w:sz="4" w:space="0" w:color="006EB7"/>
            </w:tcBorders>
            <w:vAlign w:val="center"/>
          </w:tcPr>
          <w:p w:rsidR="00AB42BA" w:rsidRPr="0069075C" w:rsidRDefault="00AB42BA" w:rsidP="006D664E">
            <w:pPr>
              <w:spacing w:line="320" w:lineRule="exact"/>
              <w:contextualSpacing/>
              <w:jc w:val="center"/>
              <w:rPr>
                <w:rFonts w:ascii="PT Sans" w:hAnsi="PT Sans"/>
                <w:sz w:val="20"/>
                <w:szCs w:val="20"/>
              </w:rPr>
            </w:pPr>
            <w:r w:rsidRPr="0069075C">
              <w:rPr>
                <w:rFonts w:ascii="PT Sans" w:hAnsi="PT Sans"/>
                <w:sz w:val="20"/>
                <w:szCs w:val="20"/>
              </w:rPr>
              <w:t>S</w:t>
            </w:r>
            <w:r>
              <w:rPr>
                <w:rFonts w:ascii="PT Sans" w:hAnsi="PT Sans"/>
                <w:sz w:val="20"/>
                <w:szCs w:val="20"/>
              </w:rPr>
              <w:t>ì</w:t>
            </w:r>
          </w:p>
        </w:tc>
        <w:tc>
          <w:tcPr>
            <w:tcW w:w="293" w:type="dxa"/>
            <w:tcBorders>
              <w:left w:val="single" w:sz="4" w:space="0" w:color="006EB7"/>
              <w:right w:val="single" w:sz="4" w:space="0" w:color="006EB7"/>
            </w:tcBorders>
            <w:vAlign w:val="center"/>
          </w:tcPr>
          <w:p w:rsidR="00AB42BA" w:rsidRPr="0069075C" w:rsidRDefault="00AB42BA" w:rsidP="006D664E">
            <w:pPr>
              <w:spacing w:line="320" w:lineRule="exact"/>
              <w:contextualSpacing/>
              <w:jc w:val="center"/>
              <w:rPr>
                <w:rFonts w:ascii="PT Sans" w:hAnsi="PT Sans"/>
                <w:sz w:val="20"/>
                <w:szCs w:val="20"/>
              </w:rPr>
            </w:pPr>
          </w:p>
        </w:tc>
        <w:tc>
          <w:tcPr>
            <w:tcW w:w="2610" w:type="dxa"/>
            <w:tcBorders>
              <w:top w:val="single" w:sz="4" w:space="0" w:color="006EB7"/>
              <w:left w:val="single" w:sz="4" w:space="0" w:color="006EB7"/>
              <w:bottom w:val="single" w:sz="4" w:space="0" w:color="006EB7"/>
              <w:right w:val="single" w:sz="4" w:space="0" w:color="006EB7"/>
            </w:tcBorders>
            <w:shd w:val="clear" w:color="auto" w:fill="auto"/>
            <w:vAlign w:val="center"/>
          </w:tcPr>
          <w:p w:rsidR="00AB42BA" w:rsidRPr="0069075C" w:rsidRDefault="00AB42BA" w:rsidP="006D664E">
            <w:pPr>
              <w:spacing w:line="320" w:lineRule="exact"/>
              <w:contextualSpacing/>
              <w:jc w:val="center"/>
              <w:rPr>
                <w:rFonts w:ascii="PT Sans" w:hAnsi="PT Sans"/>
                <w:sz w:val="20"/>
                <w:szCs w:val="20"/>
              </w:rPr>
            </w:pPr>
            <w:r w:rsidRPr="0069075C">
              <w:rPr>
                <w:rFonts w:ascii="PT Sans" w:hAnsi="PT Sans"/>
                <w:sz w:val="20"/>
                <w:szCs w:val="20"/>
              </w:rPr>
              <w:t>S</w:t>
            </w:r>
            <w:r>
              <w:rPr>
                <w:rFonts w:ascii="PT Sans" w:hAnsi="PT Sans"/>
                <w:sz w:val="20"/>
                <w:szCs w:val="20"/>
              </w:rPr>
              <w:t>ì</w:t>
            </w:r>
          </w:p>
        </w:tc>
      </w:tr>
      <w:tr w:rsidR="00AB42BA" w:rsidRPr="0069075C" w:rsidTr="006D664E">
        <w:trPr>
          <w:trHeight w:val="149"/>
        </w:trPr>
        <w:tc>
          <w:tcPr>
            <w:tcW w:w="3703" w:type="dxa"/>
            <w:tcBorders>
              <w:top w:val="single" w:sz="4" w:space="0" w:color="006EB7"/>
              <w:bottom w:val="single" w:sz="4" w:space="0" w:color="006EB7"/>
            </w:tcBorders>
            <w:shd w:val="clear" w:color="auto" w:fill="auto"/>
            <w:vAlign w:val="center"/>
          </w:tcPr>
          <w:p w:rsidR="00AB42BA" w:rsidRPr="0069075C" w:rsidRDefault="00AB42BA" w:rsidP="006D664E">
            <w:pPr>
              <w:spacing w:line="220" w:lineRule="exact"/>
              <w:contextualSpacing/>
              <w:jc w:val="both"/>
              <w:rPr>
                <w:rFonts w:ascii="PT Sans" w:hAnsi="PT Sans"/>
                <w:sz w:val="20"/>
                <w:szCs w:val="20"/>
              </w:rPr>
            </w:pPr>
          </w:p>
        </w:tc>
        <w:tc>
          <w:tcPr>
            <w:tcW w:w="730" w:type="dxa"/>
            <w:shd w:val="clear" w:color="auto" w:fill="auto"/>
            <w:vAlign w:val="center"/>
          </w:tcPr>
          <w:p w:rsidR="00AB42BA" w:rsidRPr="0069075C" w:rsidRDefault="00AB42BA" w:rsidP="006D664E">
            <w:pPr>
              <w:spacing w:line="220" w:lineRule="exact"/>
              <w:contextualSpacing/>
              <w:jc w:val="both"/>
              <w:rPr>
                <w:rFonts w:ascii="PT Sans" w:hAnsi="PT Sans"/>
                <w:color w:val="006EB7"/>
                <w:sz w:val="20"/>
                <w:szCs w:val="20"/>
              </w:rPr>
            </w:pPr>
          </w:p>
        </w:tc>
        <w:tc>
          <w:tcPr>
            <w:tcW w:w="2180" w:type="dxa"/>
            <w:tcBorders>
              <w:top w:val="single" w:sz="4" w:space="0" w:color="006EB7"/>
              <w:bottom w:val="single" w:sz="4" w:space="0" w:color="006EB7"/>
            </w:tcBorders>
            <w:vAlign w:val="center"/>
          </w:tcPr>
          <w:p w:rsidR="00AB42BA" w:rsidRPr="0069075C" w:rsidRDefault="00AB42BA" w:rsidP="006D664E">
            <w:pPr>
              <w:spacing w:line="220" w:lineRule="exact"/>
              <w:contextualSpacing/>
              <w:jc w:val="both"/>
              <w:rPr>
                <w:rFonts w:ascii="PT Sans" w:hAnsi="PT Sans"/>
                <w:sz w:val="20"/>
                <w:szCs w:val="20"/>
              </w:rPr>
            </w:pPr>
          </w:p>
        </w:tc>
        <w:tc>
          <w:tcPr>
            <w:tcW w:w="293" w:type="dxa"/>
            <w:vAlign w:val="center"/>
          </w:tcPr>
          <w:p w:rsidR="00AB42BA" w:rsidRPr="0069075C" w:rsidRDefault="00AB42BA" w:rsidP="006D664E">
            <w:pPr>
              <w:spacing w:line="220" w:lineRule="exact"/>
              <w:contextualSpacing/>
              <w:jc w:val="both"/>
              <w:rPr>
                <w:rFonts w:ascii="PT Sans" w:hAnsi="PT Sans"/>
                <w:sz w:val="20"/>
                <w:szCs w:val="20"/>
              </w:rPr>
            </w:pPr>
          </w:p>
        </w:tc>
        <w:tc>
          <w:tcPr>
            <w:tcW w:w="2610" w:type="dxa"/>
            <w:tcBorders>
              <w:top w:val="single" w:sz="4" w:space="0" w:color="006EB7"/>
              <w:bottom w:val="single" w:sz="4" w:space="0" w:color="006EB7"/>
            </w:tcBorders>
            <w:shd w:val="clear" w:color="auto" w:fill="auto"/>
            <w:vAlign w:val="center"/>
          </w:tcPr>
          <w:p w:rsidR="00AB42BA" w:rsidRPr="0069075C" w:rsidRDefault="00AB42BA" w:rsidP="006D664E">
            <w:pPr>
              <w:spacing w:line="220" w:lineRule="exact"/>
              <w:contextualSpacing/>
              <w:jc w:val="both"/>
              <w:rPr>
                <w:rFonts w:ascii="PT Sans" w:hAnsi="PT Sans"/>
                <w:sz w:val="20"/>
                <w:szCs w:val="20"/>
              </w:rPr>
            </w:pPr>
          </w:p>
        </w:tc>
      </w:tr>
      <w:tr w:rsidR="00AB42BA" w:rsidRPr="0069075C" w:rsidTr="006D664E">
        <w:trPr>
          <w:trHeight w:val="210"/>
        </w:trPr>
        <w:tc>
          <w:tcPr>
            <w:tcW w:w="3703" w:type="dxa"/>
            <w:tcBorders>
              <w:top w:val="single" w:sz="4" w:space="0" w:color="006EB7"/>
              <w:left w:val="single" w:sz="4" w:space="0" w:color="006EB7"/>
              <w:bottom w:val="single" w:sz="4" w:space="0" w:color="006EB7"/>
              <w:right w:val="single" w:sz="4" w:space="0" w:color="006EB7"/>
            </w:tcBorders>
            <w:shd w:val="clear" w:color="auto" w:fill="auto"/>
            <w:vAlign w:val="center"/>
          </w:tcPr>
          <w:p w:rsidR="00AB42BA" w:rsidRPr="0069075C" w:rsidRDefault="00AB42BA" w:rsidP="006D664E">
            <w:pPr>
              <w:spacing w:line="320" w:lineRule="exact"/>
              <w:contextualSpacing/>
              <w:jc w:val="center"/>
              <w:rPr>
                <w:rFonts w:ascii="PT Sans" w:hAnsi="PT Sans"/>
                <w:sz w:val="20"/>
                <w:szCs w:val="20"/>
              </w:rPr>
            </w:pPr>
            <w:r w:rsidRPr="0069075C">
              <w:rPr>
                <w:rFonts w:ascii="PT Sans" w:hAnsi="PT Sans"/>
                <w:sz w:val="20"/>
                <w:szCs w:val="20"/>
              </w:rPr>
              <w:t>Terreni agricoli</w:t>
            </w:r>
          </w:p>
        </w:tc>
        <w:tc>
          <w:tcPr>
            <w:tcW w:w="730" w:type="dxa"/>
            <w:tcBorders>
              <w:left w:val="single" w:sz="4" w:space="0" w:color="006EB7"/>
              <w:right w:val="single" w:sz="4" w:space="0" w:color="006EB7"/>
            </w:tcBorders>
            <w:shd w:val="clear" w:color="auto" w:fill="auto"/>
            <w:vAlign w:val="center"/>
          </w:tcPr>
          <w:p w:rsidR="00AB42BA" w:rsidRPr="0069075C" w:rsidRDefault="00AB42BA" w:rsidP="006D664E">
            <w:pPr>
              <w:spacing w:line="320" w:lineRule="exact"/>
              <w:contextualSpacing/>
              <w:jc w:val="center"/>
              <w:rPr>
                <w:rFonts w:ascii="PT Sans" w:hAnsi="PT Sans"/>
                <w:color w:val="006EB7"/>
                <w:sz w:val="20"/>
                <w:szCs w:val="20"/>
              </w:rPr>
            </w:pPr>
            <w:r w:rsidRPr="0069075C">
              <w:rPr>
                <w:rFonts w:ascii="PT Sans" w:hAnsi="PT Sans"/>
                <w:color w:val="0064B7"/>
                <w:sz w:val="20"/>
                <w:szCs w:val="20"/>
              </w:rPr>
              <w:sym w:font="Wingdings 3" w:char="F0C6"/>
            </w:r>
          </w:p>
        </w:tc>
        <w:tc>
          <w:tcPr>
            <w:tcW w:w="2180" w:type="dxa"/>
            <w:tcBorders>
              <w:top w:val="single" w:sz="4" w:space="0" w:color="006EB7"/>
              <w:left w:val="single" w:sz="4" w:space="0" w:color="006EB7"/>
              <w:bottom w:val="single" w:sz="4" w:space="0" w:color="006EB7"/>
              <w:right w:val="single" w:sz="4" w:space="0" w:color="006EB7"/>
            </w:tcBorders>
            <w:vAlign w:val="center"/>
          </w:tcPr>
          <w:p w:rsidR="00AB42BA" w:rsidRPr="0069075C" w:rsidRDefault="00AB42BA" w:rsidP="006D664E">
            <w:pPr>
              <w:spacing w:line="320" w:lineRule="exact"/>
              <w:contextualSpacing/>
              <w:jc w:val="center"/>
              <w:rPr>
                <w:rFonts w:ascii="PT Sans" w:hAnsi="PT Sans"/>
                <w:sz w:val="20"/>
                <w:szCs w:val="20"/>
              </w:rPr>
            </w:pPr>
            <w:r w:rsidRPr="0069075C">
              <w:rPr>
                <w:rFonts w:ascii="PT Sans" w:hAnsi="PT Sans"/>
                <w:sz w:val="20"/>
                <w:szCs w:val="20"/>
              </w:rPr>
              <w:t>S</w:t>
            </w:r>
            <w:r>
              <w:rPr>
                <w:rFonts w:ascii="PT Sans" w:hAnsi="PT Sans"/>
                <w:sz w:val="20"/>
                <w:szCs w:val="20"/>
              </w:rPr>
              <w:t>ì</w:t>
            </w:r>
          </w:p>
        </w:tc>
        <w:tc>
          <w:tcPr>
            <w:tcW w:w="293" w:type="dxa"/>
            <w:tcBorders>
              <w:left w:val="single" w:sz="4" w:space="0" w:color="006EB7"/>
              <w:right w:val="single" w:sz="4" w:space="0" w:color="006EB7"/>
            </w:tcBorders>
            <w:vAlign w:val="center"/>
          </w:tcPr>
          <w:p w:rsidR="00AB42BA" w:rsidRPr="0069075C" w:rsidRDefault="00AB42BA" w:rsidP="006D664E">
            <w:pPr>
              <w:spacing w:line="320" w:lineRule="exact"/>
              <w:contextualSpacing/>
              <w:jc w:val="center"/>
              <w:rPr>
                <w:rFonts w:ascii="PT Sans" w:hAnsi="PT Sans"/>
                <w:sz w:val="20"/>
                <w:szCs w:val="20"/>
              </w:rPr>
            </w:pPr>
          </w:p>
        </w:tc>
        <w:tc>
          <w:tcPr>
            <w:tcW w:w="2610" w:type="dxa"/>
            <w:tcBorders>
              <w:top w:val="single" w:sz="4" w:space="0" w:color="006EB7"/>
              <w:left w:val="single" w:sz="4" w:space="0" w:color="006EB7"/>
              <w:bottom w:val="single" w:sz="4" w:space="0" w:color="006EB7"/>
              <w:right w:val="single" w:sz="4" w:space="0" w:color="006EB7"/>
            </w:tcBorders>
            <w:shd w:val="clear" w:color="auto" w:fill="auto"/>
            <w:vAlign w:val="center"/>
          </w:tcPr>
          <w:p w:rsidR="00AB42BA" w:rsidRPr="0069075C" w:rsidRDefault="00AB42BA" w:rsidP="006D664E">
            <w:pPr>
              <w:spacing w:line="320" w:lineRule="exact"/>
              <w:contextualSpacing/>
              <w:jc w:val="center"/>
              <w:rPr>
                <w:rFonts w:ascii="PT Sans" w:hAnsi="PT Sans"/>
                <w:sz w:val="20"/>
                <w:szCs w:val="20"/>
              </w:rPr>
            </w:pPr>
            <w:r w:rsidRPr="0069075C">
              <w:rPr>
                <w:rFonts w:ascii="PT Sans" w:hAnsi="PT Sans"/>
                <w:sz w:val="20"/>
                <w:szCs w:val="20"/>
              </w:rPr>
              <w:t>N</w:t>
            </w:r>
            <w:r>
              <w:rPr>
                <w:rFonts w:ascii="PT Sans" w:hAnsi="PT Sans"/>
                <w:sz w:val="20"/>
                <w:szCs w:val="20"/>
              </w:rPr>
              <w:t>o</w:t>
            </w:r>
          </w:p>
        </w:tc>
      </w:tr>
    </w:tbl>
    <w:p w:rsidR="00AB42BA" w:rsidRPr="0069075C" w:rsidRDefault="00AB42BA" w:rsidP="00AB42BA">
      <w:pPr>
        <w:spacing w:line="320" w:lineRule="exact"/>
        <w:jc w:val="both"/>
        <w:rPr>
          <w:rFonts w:ascii="PT Sans" w:hAnsi="PT Sans" w:cs="Arial"/>
          <w:szCs w:val="22"/>
        </w:rPr>
      </w:pPr>
    </w:p>
    <w:p w:rsidR="00AB42BA" w:rsidRPr="0069075C" w:rsidRDefault="00AB42BA" w:rsidP="00AB42BA">
      <w:pPr>
        <w:pStyle w:val="sottoparagrafo"/>
        <w:spacing w:line="320" w:lineRule="exact"/>
        <w:rPr>
          <w:rFonts w:ascii="PT Sans" w:hAnsi="PT Sans"/>
          <w:iCs/>
        </w:rPr>
      </w:pPr>
      <w:r w:rsidRPr="0069075C">
        <w:rPr>
          <w:rFonts w:ascii="PT Sans" w:hAnsi="PT Sans"/>
          <w:iCs/>
        </w:rPr>
        <w:t xml:space="preserve">Fabbricati </w:t>
      </w:r>
    </w:p>
    <w:p w:rsidR="00AB42BA" w:rsidRPr="0069075C" w:rsidRDefault="00AB42BA" w:rsidP="00AB42BA">
      <w:pPr>
        <w:spacing w:line="320" w:lineRule="exact"/>
        <w:jc w:val="both"/>
        <w:rPr>
          <w:rFonts w:ascii="PT Sans" w:hAnsi="PT Sans" w:cs="Arial"/>
          <w:szCs w:val="22"/>
        </w:rPr>
      </w:pPr>
      <w:r w:rsidRPr="0069075C">
        <w:rPr>
          <w:rFonts w:ascii="PT Sans" w:hAnsi="PT Sans" w:cs="Arial"/>
          <w:szCs w:val="22"/>
        </w:rPr>
        <w:t>I fabbricati sono imponibili sia ai fini Imu che ai fini Tasi secondo le medesime regole. Ad esclusione dei fabbricati di categoria catastale D privi di rendita (per i quali si utilizzano i valori contabili rivalutati), per tutti gli altri fabbricati si farà riferimento alle rendite risultanti in catasto, vigenti al 1° gennaio dell'anno di imposizione, rivalutate del 5%, alle quali applicare specifici moltiplicatori.</w:t>
      </w:r>
    </w:p>
    <w:tbl>
      <w:tblPr>
        <w:tblpPr w:leftFromText="141" w:rightFromText="141" w:vertAnchor="text" w:horzAnchor="margin" w:tblpXSpec="center" w:tblpY="121"/>
        <w:tblW w:w="7479" w:type="dxa"/>
        <w:tblBorders>
          <w:top w:val="single" w:sz="4" w:space="0" w:color="006EB7"/>
          <w:left w:val="single" w:sz="4" w:space="0" w:color="006EB7"/>
          <w:bottom w:val="single" w:sz="4" w:space="0" w:color="006EB7"/>
          <w:right w:val="single" w:sz="4" w:space="0" w:color="006EB7"/>
          <w:insideH w:val="single" w:sz="4" w:space="0" w:color="006EB7"/>
          <w:insideV w:val="single" w:sz="4" w:space="0" w:color="006EB7"/>
        </w:tblBorders>
        <w:tblLook w:val="01E0" w:firstRow="1" w:lastRow="1" w:firstColumn="1" w:lastColumn="1" w:noHBand="0" w:noVBand="0"/>
      </w:tblPr>
      <w:tblGrid>
        <w:gridCol w:w="5040"/>
        <w:gridCol w:w="2439"/>
      </w:tblGrid>
      <w:tr w:rsidR="00AB42BA" w:rsidRPr="0069075C" w:rsidTr="006D664E">
        <w:tc>
          <w:tcPr>
            <w:tcW w:w="5040" w:type="dxa"/>
            <w:shd w:val="clear" w:color="auto" w:fill="B2D3E9"/>
          </w:tcPr>
          <w:p w:rsidR="00AB42BA" w:rsidRPr="0069075C" w:rsidRDefault="00AB42BA" w:rsidP="006D664E">
            <w:pPr>
              <w:spacing w:line="320" w:lineRule="exact"/>
              <w:jc w:val="center"/>
              <w:rPr>
                <w:rFonts w:ascii="PT Sans" w:hAnsi="PT Sans" w:cs="Arial"/>
                <w:b/>
                <w:szCs w:val="22"/>
              </w:rPr>
            </w:pPr>
            <w:r w:rsidRPr="0069075C">
              <w:rPr>
                <w:rFonts w:ascii="PT Sans" w:hAnsi="PT Sans" w:cs="Arial"/>
                <w:b/>
                <w:szCs w:val="22"/>
              </w:rPr>
              <w:t>Categoria catastale</w:t>
            </w:r>
          </w:p>
        </w:tc>
        <w:tc>
          <w:tcPr>
            <w:tcW w:w="2439" w:type="dxa"/>
            <w:shd w:val="clear" w:color="auto" w:fill="B2D3E9"/>
          </w:tcPr>
          <w:p w:rsidR="00AB42BA" w:rsidRPr="0069075C" w:rsidRDefault="00AB42BA" w:rsidP="006D664E">
            <w:pPr>
              <w:spacing w:line="320" w:lineRule="exact"/>
              <w:jc w:val="center"/>
              <w:rPr>
                <w:rFonts w:ascii="PT Sans" w:hAnsi="PT Sans" w:cs="Arial"/>
                <w:b/>
                <w:szCs w:val="22"/>
              </w:rPr>
            </w:pPr>
            <w:r w:rsidRPr="0069075C">
              <w:rPr>
                <w:rFonts w:ascii="PT Sans" w:hAnsi="PT Sans" w:cs="Arial"/>
                <w:b/>
                <w:szCs w:val="22"/>
              </w:rPr>
              <w:t>Moltiplicatore</w:t>
            </w:r>
          </w:p>
        </w:tc>
      </w:tr>
      <w:tr w:rsidR="00AB42BA" w:rsidRPr="0069075C" w:rsidTr="006D664E">
        <w:tc>
          <w:tcPr>
            <w:tcW w:w="5040" w:type="dxa"/>
          </w:tcPr>
          <w:p w:rsidR="00AB42BA" w:rsidRPr="0069075C" w:rsidRDefault="00AB42BA" w:rsidP="006D664E">
            <w:pPr>
              <w:spacing w:line="320" w:lineRule="exact"/>
              <w:jc w:val="both"/>
              <w:rPr>
                <w:rFonts w:ascii="PT Sans" w:hAnsi="PT Sans" w:cs="Arial"/>
                <w:szCs w:val="22"/>
              </w:rPr>
            </w:pPr>
            <w:r w:rsidRPr="0069075C">
              <w:rPr>
                <w:rFonts w:ascii="PT Sans" w:hAnsi="PT Sans" w:cs="Arial"/>
                <w:szCs w:val="22"/>
              </w:rPr>
              <w:t>A (diverso da A/10) - C/2 – C/6 – C/7</w:t>
            </w:r>
          </w:p>
        </w:tc>
        <w:tc>
          <w:tcPr>
            <w:tcW w:w="2439" w:type="dxa"/>
          </w:tcPr>
          <w:p w:rsidR="00AB42BA" w:rsidRPr="0069075C" w:rsidRDefault="00AB42BA" w:rsidP="006D664E">
            <w:pPr>
              <w:spacing w:line="320" w:lineRule="exact"/>
              <w:jc w:val="center"/>
              <w:rPr>
                <w:rFonts w:ascii="PT Sans" w:hAnsi="PT Sans" w:cs="Arial"/>
                <w:b/>
                <w:szCs w:val="22"/>
              </w:rPr>
            </w:pPr>
            <w:r w:rsidRPr="0069075C">
              <w:rPr>
                <w:rFonts w:ascii="PT Sans" w:hAnsi="PT Sans" w:cs="Arial"/>
                <w:b/>
                <w:szCs w:val="22"/>
              </w:rPr>
              <w:t>160</w:t>
            </w:r>
          </w:p>
        </w:tc>
      </w:tr>
      <w:tr w:rsidR="00AB42BA" w:rsidRPr="0069075C" w:rsidTr="006D664E">
        <w:tc>
          <w:tcPr>
            <w:tcW w:w="5040" w:type="dxa"/>
          </w:tcPr>
          <w:p w:rsidR="00AB42BA" w:rsidRPr="0069075C" w:rsidRDefault="00AB42BA" w:rsidP="006D664E">
            <w:pPr>
              <w:spacing w:line="320" w:lineRule="exact"/>
              <w:jc w:val="both"/>
              <w:rPr>
                <w:rFonts w:ascii="PT Sans" w:hAnsi="PT Sans" w:cs="Arial"/>
                <w:szCs w:val="22"/>
              </w:rPr>
            </w:pPr>
            <w:r w:rsidRPr="0069075C">
              <w:rPr>
                <w:rFonts w:ascii="PT Sans" w:hAnsi="PT Sans" w:cs="Arial"/>
                <w:szCs w:val="22"/>
              </w:rPr>
              <w:t>B</w:t>
            </w:r>
          </w:p>
        </w:tc>
        <w:tc>
          <w:tcPr>
            <w:tcW w:w="2439" w:type="dxa"/>
          </w:tcPr>
          <w:p w:rsidR="00AB42BA" w:rsidRPr="0069075C" w:rsidRDefault="00AB42BA" w:rsidP="006D664E">
            <w:pPr>
              <w:spacing w:line="320" w:lineRule="exact"/>
              <w:jc w:val="center"/>
              <w:rPr>
                <w:rFonts w:ascii="PT Sans" w:hAnsi="PT Sans" w:cs="Arial"/>
                <w:b/>
                <w:szCs w:val="22"/>
              </w:rPr>
            </w:pPr>
            <w:r w:rsidRPr="0069075C">
              <w:rPr>
                <w:rFonts w:ascii="PT Sans" w:hAnsi="PT Sans" w:cs="Arial"/>
                <w:b/>
                <w:szCs w:val="22"/>
              </w:rPr>
              <w:t>140</w:t>
            </w:r>
          </w:p>
        </w:tc>
      </w:tr>
      <w:tr w:rsidR="00AB42BA" w:rsidRPr="0069075C" w:rsidTr="006D664E">
        <w:tc>
          <w:tcPr>
            <w:tcW w:w="5040" w:type="dxa"/>
          </w:tcPr>
          <w:p w:rsidR="00AB42BA" w:rsidRPr="0069075C" w:rsidRDefault="00AB42BA" w:rsidP="006D664E">
            <w:pPr>
              <w:spacing w:line="320" w:lineRule="exact"/>
              <w:jc w:val="both"/>
              <w:rPr>
                <w:rFonts w:ascii="PT Sans" w:hAnsi="PT Sans" w:cs="Arial"/>
                <w:szCs w:val="22"/>
              </w:rPr>
            </w:pPr>
            <w:r w:rsidRPr="0069075C">
              <w:rPr>
                <w:rFonts w:ascii="PT Sans" w:hAnsi="PT Sans" w:cs="Arial"/>
                <w:szCs w:val="22"/>
              </w:rPr>
              <w:t>C/3 – C/4 – C/5</w:t>
            </w:r>
          </w:p>
        </w:tc>
        <w:tc>
          <w:tcPr>
            <w:tcW w:w="2439" w:type="dxa"/>
          </w:tcPr>
          <w:p w:rsidR="00AB42BA" w:rsidRPr="0069075C" w:rsidRDefault="00AB42BA" w:rsidP="006D664E">
            <w:pPr>
              <w:spacing w:line="320" w:lineRule="exact"/>
              <w:jc w:val="center"/>
              <w:rPr>
                <w:rFonts w:ascii="PT Sans" w:hAnsi="PT Sans" w:cs="Arial"/>
                <w:b/>
                <w:szCs w:val="22"/>
              </w:rPr>
            </w:pPr>
            <w:r w:rsidRPr="0069075C">
              <w:rPr>
                <w:rFonts w:ascii="PT Sans" w:hAnsi="PT Sans" w:cs="Arial"/>
                <w:b/>
                <w:szCs w:val="22"/>
              </w:rPr>
              <w:t>140</w:t>
            </w:r>
          </w:p>
        </w:tc>
      </w:tr>
      <w:tr w:rsidR="00AB42BA" w:rsidRPr="0069075C" w:rsidTr="006D664E">
        <w:tc>
          <w:tcPr>
            <w:tcW w:w="5040" w:type="dxa"/>
          </w:tcPr>
          <w:p w:rsidR="00AB42BA" w:rsidRPr="0069075C" w:rsidRDefault="00AB42BA" w:rsidP="006D664E">
            <w:pPr>
              <w:spacing w:line="320" w:lineRule="exact"/>
              <w:jc w:val="both"/>
              <w:rPr>
                <w:rFonts w:ascii="PT Sans" w:hAnsi="PT Sans" w:cs="Arial"/>
                <w:szCs w:val="22"/>
              </w:rPr>
            </w:pPr>
            <w:r w:rsidRPr="0069075C">
              <w:rPr>
                <w:rFonts w:ascii="PT Sans" w:hAnsi="PT Sans" w:cs="Arial"/>
                <w:szCs w:val="22"/>
              </w:rPr>
              <w:t>A/10 e D/5</w:t>
            </w:r>
          </w:p>
        </w:tc>
        <w:tc>
          <w:tcPr>
            <w:tcW w:w="2439" w:type="dxa"/>
          </w:tcPr>
          <w:p w:rsidR="00AB42BA" w:rsidRPr="0069075C" w:rsidRDefault="00AB42BA" w:rsidP="006D664E">
            <w:pPr>
              <w:spacing w:line="320" w:lineRule="exact"/>
              <w:jc w:val="center"/>
              <w:rPr>
                <w:rFonts w:ascii="PT Sans" w:hAnsi="PT Sans" w:cs="Arial"/>
                <w:b/>
                <w:szCs w:val="22"/>
              </w:rPr>
            </w:pPr>
            <w:r w:rsidRPr="0069075C">
              <w:rPr>
                <w:rFonts w:ascii="PT Sans" w:hAnsi="PT Sans" w:cs="Arial"/>
                <w:b/>
                <w:szCs w:val="22"/>
              </w:rPr>
              <w:t>80</w:t>
            </w:r>
          </w:p>
        </w:tc>
      </w:tr>
      <w:tr w:rsidR="00AB42BA" w:rsidRPr="0069075C" w:rsidTr="006D664E">
        <w:tc>
          <w:tcPr>
            <w:tcW w:w="5040" w:type="dxa"/>
          </w:tcPr>
          <w:p w:rsidR="00AB42BA" w:rsidRPr="0069075C" w:rsidRDefault="00AB42BA" w:rsidP="006D664E">
            <w:pPr>
              <w:spacing w:line="320" w:lineRule="exact"/>
              <w:jc w:val="both"/>
              <w:rPr>
                <w:rFonts w:ascii="PT Sans" w:hAnsi="PT Sans" w:cs="Arial"/>
                <w:szCs w:val="22"/>
              </w:rPr>
            </w:pPr>
            <w:r w:rsidRPr="0069075C">
              <w:rPr>
                <w:rFonts w:ascii="PT Sans" w:hAnsi="PT Sans" w:cs="Arial"/>
                <w:szCs w:val="22"/>
              </w:rPr>
              <w:t>D (escluso D/5)</w:t>
            </w:r>
          </w:p>
        </w:tc>
        <w:tc>
          <w:tcPr>
            <w:tcW w:w="2439" w:type="dxa"/>
          </w:tcPr>
          <w:p w:rsidR="00AB42BA" w:rsidRPr="0069075C" w:rsidRDefault="00AB42BA" w:rsidP="006D664E">
            <w:pPr>
              <w:spacing w:line="320" w:lineRule="exact"/>
              <w:jc w:val="center"/>
              <w:rPr>
                <w:rFonts w:ascii="PT Sans" w:hAnsi="PT Sans" w:cs="Arial"/>
                <w:b/>
                <w:szCs w:val="22"/>
              </w:rPr>
            </w:pPr>
            <w:r w:rsidRPr="0069075C">
              <w:rPr>
                <w:rFonts w:ascii="PT Sans" w:hAnsi="PT Sans" w:cs="Arial"/>
                <w:b/>
                <w:szCs w:val="22"/>
              </w:rPr>
              <w:t>65</w:t>
            </w:r>
          </w:p>
        </w:tc>
      </w:tr>
      <w:tr w:rsidR="00AB42BA" w:rsidRPr="0069075C" w:rsidTr="006D664E">
        <w:tc>
          <w:tcPr>
            <w:tcW w:w="5040" w:type="dxa"/>
          </w:tcPr>
          <w:p w:rsidR="00AB42BA" w:rsidRPr="0069075C" w:rsidRDefault="00AB42BA" w:rsidP="006D664E">
            <w:pPr>
              <w:spacing w:line="320" w:lineRule="exact"/>
              <w:jc w:val="both"/>
              <w:rPr>
                <w:rFonts w:ascii="PT Sans" w:hAnsi="PT Sans" w:cs="Arial"/>
                <w:szCs w:val="22"/>
              </w:rPr>
            </w:pPr>
            <w:r w:rsidRPr="0069075C">
              <w:rPr>
                <w:rFonts w:ascii="PT Sans" w:hAnsi="PT Sans" w:cs="Arial"/>
                <w:szCs w:val="22"/>
              </w:rPr>
              <w:t>C/1</w:t>
            </w:r>
          </w:p>
        </w:tc>
        <w:tc>
          <w:tcPr>
            <w:tcW w:w="2439" w:type="dxa"/>
          </w:tcPr>
          <w:p w:rsidR="00AB42BA" w:rsidRPr="0069075C" w:rsidRDefault="00AB42BA" w:rsidP="006D664E">
            <w:pPr>
              <w:spacing w:line="320" w:lineRule="exact"/>
              <w:jc w:val="center"/>
              <w:rPr>
                <w:rFonts w:ascii="PT Sans" w:hAnsi="PT Sans" w:cs="Arial"/>
                <w:b/>
                <w:szCs w:val="22"/>
              </w:rPr>
            </w:pPr>
            <w:r w:rsidRPr="0069075C">
              <w:rPr>
                <w:rFonts w:ascii="PT Sans" w:hAnsi="PT Sans" w:cs="Arial"/>
                <w:b/>
                <w:szCs w:val="22"/>
              </w:rPr>
              <w:t>55</w:t>
            </w:r>
          </w:p>
        </w:tc>
      </w:tr>
    </w:tbl>
    <w:p w:rsidR="00AB42BA" w:rsidRPr="0069075C" w:rsidRDefault="00AB42BA" w:rsidP="00AB42BA">
      <w:pPr>
        <w:spacing w:line="320" w:lineRule="exact"/>
        <w:jc w:val="both"/>
        <w:rPr>
          <w:rFonts w:ascii="PT Sans" w:hAnsi="PT Sans" w:cs="Arial"/>
          <w:szCs w:val="22"/>
        </w:rPr>
      </w:pPr>
    </w:p>
    <w:p w:rsidR="00AB42BA" w:rsidRPr="0069075C" w:rsidRDefault="00AB42BA" w:rsidP="00AB42BA">
      <w:pPr>
        <w:spacing w:line="320" w:lineRule="exact"/>
        <w:jc w:val="both"/>
        <w:rPr>
          <w:rFonts w:ascii="PT Sans" w:hAnsi="PT Sans" w:cs="Arial"/>
          <w:szCs w:val="22"/>
        </w:rPr>
      </w:pPr>
    </w:p>
    <w:p w:rsidR="00AB42BA" w:rsidRPr="0069075C" w:rsidRDefault="00AB42BA" w:rsidP="00AB42BA">
      <w:pPr>
        <w:spacing w:line="320" w:lineRule="exact"/>
        <w:jc w:val="both"/>
        <w:rPr>
          <w:rFonts w:ascii="PT Sans" w:hAnsi="PT Sans" w:cs="Arial"/>
          <w:szCs w:val="22"/>
        </w:rPr>
      </w:pPr>
    </w:p>
    <w:p w:rsidR="00AB42BA" w:rsidRPr="0069075C" w:rsidRDefault="00AB42BA" w:rsidP="00AB42BA">
      <w:pPr>
        <w:spacing w:line="320" w:lineRule="exact"/>
        <w:jc w:val="both"/>
        <w:rPr>
          <w:rFonts w:ascii="PT Sans" w:hAnsi="PT Sans" w:cs="Arial"/>
          <w:szCs w:val="22"/>
        </w:rPr>
      </w:pPr>
    </w:p>
    <w:p w:rsidR="00AB42BA" w:rsidRPr="0069075C" w:rsidRDefault="00AB42BA" w:rsidP="00AB42BA">
      <w:pPr>
        <w:spacing w:line="320" w:lineRule="exact"/>
        <w:jc w:val="both"/>
        <w:rPr>
          <w:rFonts w:ascii="PT Sans" w:hAnsi="PT Sans" w:cs="Arial"/>
          <w:szCs w:val="22"/>
        </w:rPr>
      </w:pPr>
    </w:p>
    <w:p w:rsidR="00AB42BA" w:rsidRPr="0069075C" w:rsidRDefault="00AB42BA" w:rsidP="00AB42BA">
      <w:pPr>
        <w:spacing w:line="320" w:lineRule="exact"/>
        <w:jc w:val="both"/>
        <w:rPr>
          <w:rFonts w:ascii="PT Sans" w:hAnsi="PT Sans" w:cs="Arial"/>
          <w:szCs w:val="22"/>
        </w:rPr>
      </w:pPr>
    </w:p>
    <w:p w:rsidR="00AB42BA" w:rsidRPr="0069075C" w:rsidRDefault="00AB42BA" w:rsidP="00AB42BA">
      <w:pPr>
        <w:spacing w:line="320" w:lineRule="exact"/>
        <w:jc w:val="both"/>
        <w:rPr>
          <w:rFonts w:ascii="PT Sans" w:hAnsi="PT Sans" w:cs="Arial"/>
          <w:szCs w:val="22"/>
        </w:rPr>
      </w:pPr>
    </w:p>
    <w:p w:rsidR="00AB42BA" w:rsidRPr="0069075C" w:rsidRDefault="00AB42BA" w:rsidP="00AB42BA">
      <w:pPr>
        <w:spacing w:line="320" w:lineRule="exact"/>
        <w:jc w:val="both"/>
        <w:rPr>
          <w:rFonts w:ascii="PT Sans" w:hAnsi="PT Sans" w:cs="Arial"/>
          <w:szCs w:val="22"/>
        </w:rPr>
      </w:pPr>
    </w:p>
    <w:p w:rsidR="00AB42BA" w:rsidRPr="0069075C" w:rsidRDefault="00AB42BA" w:rsidP="00AB42BA">
      <w:pPr>
        <w:spacing w:line="320" w:lineRule="exact"/>
        <w:jc w:val="both"/>
        <w:rPr>
          <w:rFonts w:ascii="PT Sans" w:hAnsi="PT Sans" w:cs="Arial"/>
          <w:szCs w:val="22"/>
        </w:rPr>
      </w:pPr>
      <w:r w:rsidRPr="0069075C">
        <w:rPr>
          <w:rFonts w:ascii="PT Sans" w:hAnsi="PT Sans" w:cs="Arial"/>
          <w:szCs w:val="22"/>
        </w:rPr>
        <w:t>Tanto ai fini Imu quanto ai fini Tasi è prevista inoltre una riduzione del 50% della base imponibile per i fabbricati inagibili ed inabitabili, nonché per gli immobili vincolati ai sensi dell’articolo 10, D.Lgs. 42/2004.</w:t>
      </w:r>
    </w:p>
    <w:p w:rsidR="00AB42BA" w:rsidRPr="0069075C" w:rsidRDefault="00AB42BA" w:rsidP="00AB42BA">
      <w:pPr>
        <w:spacing w:line="320" w:lineRule="exact"/>
        <w:jc w:val="both"/>
        <w:rPr>
          <w:rFonts w:ascii="PT Sans" w:hAnsi="PT Sans" w:cs="Arial"/>
          <w:szCs w:val="22"/>
        </w:rPr>
      </w:pPr>
      <w:r w:rsidRPr="0069075C">
        <w:rPr>
          <w:rFonts w:ascii="PT Sans" w:hAnsi="PT Sans" w:cs="Arial"/>
          <w:szCs w:val="22"/>
        </w:rPr>
        <w:t>I fabbricati posseduti dal costruttore (o ristrutturatore), destinati alla vendita e non locati, sono esenti dall’Imu, mentre la Tasi risulta dovuta.</w:t>
      </w:r>
    </w:p>
    <w:p w:rsidR="00AB42BA" w:rsidRPr="0069075C" w:rsidRDefault="00AB42BA" w:rsidP="00AB42BA">
      <w:pPr>
        <w:spacing w:line="320" w:lineRule="exact"/>
        <w:jc w:val="both"/>
        <w:rPr>
          <w:rFonts w:ascii="PT Sans" w:hAnsi="PT Sans" w:cs="Arial"/>
          <w:szCs w:val="22"/>
        </w:rPr>
      </w:pPr>
      <w:r w:rsidRPr="0069075C">
        <w:rPr>
          <w:rFonts w:ascii="PT Sans" w:hAnsi="PT Sans" w:cs="Arial"/>
          <w:szCs w:val="22"/>
        </w:rPr>
        <w:t>E’ possibile beneficiare della riduzione al 50% in relazione agli immobili dati in uso gratuito ai familiari in linea retta entro il primo grado, con contratto registrato; tale agevolazione è comunque soggetta al rispetto di determinati vincoli.</w:t>
      </w:r>
    </w:p>
    <w:p w:rsidR="00AB42BA" w:rsidRPr="0069075C" w:rsidRDefault="00AB42BA" w:rsidP="00AB42BA">
      <w:pPr>
        <w:spacing w:line="320" w:lineRule="exact"/>
        <w:jc w:val="both"/>
        <w:rPr>
          <w:rFonts w:ascii="PT Sans" w:hAnsi="PT Sans" w:cs="Arial"/>
          <w:szCs w:val="22"/>
        </w:rPr>
      </w:pPr>
    </w:p>
    <w:p w:rsidR="00AB42BA" w:rsidRPr="0069075C" w:rsidRDefault="00AB42BA" w:rsidP="00AB42BA">
      <w:pPr>
        <w:pStyle w:val="sottoparagrafo"/>
        <w:spacing w:line="320" w:lineRule="exact"/>
        <w:rPr>
          <w:rFonts w:ascii="PT Sans" w:hAnsi="PT Sans"/>
          <w:iCs/>
        </w:rPr>
      </w:pPr>
      <w:r w:rsidRPr="0069075C">
        <w:rPr>
          <w:rFonts w:ascii="PT Sans" w:hAnsi="PT Sans"/>
          <w:iCs/>
        </w:rPr>
        <w:t>Terreni agricoli</w:t>
      </w:r>
    </w:p>
    <w:p w:rsidR="00AB42BA" w:rsidRPr="0069075C" w:rsidRDefault="00AB42BA" w:rsidP="00AB42BA">
      <w:pPr>
        <w:spacing w:line="320" w:lineRule="exact"/>
        <w:jc w:val="both"/>
        <w:rPr>
          <w:rFonts w:ascii="PT Sans" w:hAnsi="PT Sans" w:cs="Arial"/>
          <w:szCs w:val="22"/>
        </w:rPr>
      </w:pPr>
      <w:r w:rsidRPr="0069075C">
        <w:rPr>
          <w:rFonts w:ascii="PT Sans" w:hAnsi="PT Sans" w:cs="Arial"/>
          <w:szCs w:val="22"/>
        </w:rPr>
        <w:t>I terreni agricoli sono imponibili solo ai fini Imu. La base imponibile è costituita dal reddito dominicale risultante in catasto, vigente al 1° gennaio dell'anno di imposizione, rivalutato del 25%, a cui applicare un moltiplicatore di 135.</w:t>
      </w:r>
    </w:p>
    <w:p w:rsidR="00AB42BA" w:rsidRPr="0069075C" w:rsidRDefault="00AB42BA" w:rsidP="00AB42BA">
      <w:pPr>
        <w:spacing w:line="320" w:lineRule="exact"/>
        <w:jc w:val="both"/>
        <w:rPr>
          <w:rFonts w:ascii="PT Sans" w:hAnsi="PT Sans" w:cs="Arial"/>
          <w:bCs/>
          <w:szCs w:val="22"/>
        </w:rPr>
      </w:pPr>
      <w:r w:rsidRPr="0069075C">
        <w:rPr>
          <w:rFonts w:ascii="PT Sans" w:hAnsi="PT Sans" w:cs="Arial"/>
          <w:bCs/>
          <w:szCs w:val="22"/>
        </w:rPr>
        <w:t>I terreni sono comunque esenti anche da Imu nelle seguenti situazioni:</w:t>
      </w:r>
    </w:p>
    <w:p w:rsidR="00AB42BA" w:rsidRPr="0069075C" w:rsidRDefault="00AB42BA" w:rsidP="00BB6277">
      <w:pPr>
        <w:pStyle w:val="Paragrafoelenco"/>
        <w:numPr>
          <w:ilvl w:val="0"/>
          <w:numId w:val="17"/>
        </w:numPr>
        <w:spacing w:line="320" w:lineRule="exact"/>
        <w:jc w:val="both"/>
        <w:rPr>
          <w:rFonts w:ascii="PT Sans" w:hAnsi="PT Sans" w:cs="Arial"/>
          <w:bCs/>
          <w:sz w:val="22"/>
          <w:szCs w:val="22"/>
        </w:rPr>
      </w:pPr>
      <w:r w:rsidRPr="0069075C">
        <w:rPr>
          <w:rFonts w:ascii="PT Sans" w:hAnsi="PT Sans" w:cs="Arial"/>
          <w:bCs/>
          <w:sz w:val="22"/>
          <w:szCs w:val="22"/>
        </w:rPr>
        <w:lastRenderedPageBreak/>
        <w:t>quando ubicati nei Comuni montani elencati nella circolare 9 del 1993. Alcuni Comuni sono designati parzialmente montani (PD) e l’esenzione vale per una parte del territorio comunale;</w:t>
      </w:r>
    </w:p>
    <w:p w:rsidR="00AB42BA" w:rsidRPr="0069075C" w:rsidRDefault="00AB42BA" w:rsidP="00BB6277">
      <w:pPr>
        <w:pStyle w:val="Paragrafoelenco"/>
        <w:numPr>
          <w:ilvl w:val="0"/>
          <w:numId w:val="17"/>
        </w:numPr>
        <w:spacing w:line="320" w:lineRule="exact"/>
        <w:jc w:val="both"/>
        <w:rPr>
          <w:rFonts w:ascii="PT Sans" w:hAnsi="PT Sans" w:cs="Arial"/>
          <w:bCs/>
          <w:sz w:val="22"/>
          <w:szCs w:val="22"/>
        </w:rPr>
      </w:pPr>
      <w:r w:rsidRPr="0069075C">
        <w:rPr>
          <w:rFonts w:ascii="PT Sans" w:hAnsi="PT Sans" w:cs="Arial"/>
          <w:bCs/>
          <w:sz w:val="22"/>
          <w:szCs w:val="22"/>
        </w:rPr>
        <w:t>terreni ubicati nelle cosiddette “isole minori” indicate nell’allegato A della L. 448/2001 (sono sostanzialmente tutte le isole italiane, eccettuate la Sicilia e la Sardegna);</w:t>
      </w:r>
    </w:p>
    <w:p w:rsidR="00AB42BA" w:rsidRPr="0069075C" w:rsidRDefault="00AB42BA" w:rsidP="00BB6277">
      <w:pPr>
        <w:pStyle w:val="Paragrafoelenco"/>
        <w:numPr>
          <w:ilvl w:val="0"/>
          <w:numId w:val="17"/>
        </w:numPr>
        <w:spacing w:line="320" w:lineRule="exact"/>
        <w:jc w:val="both"/>
        <w:rPr>
          <w:rFonts w:ascii="PT Sans" w:hAnsi="PT Sans" w:cs="Arial"/>
          <w:bCs/>
          <w:sz w:val="22"/>
          <w:szCs w:val="22"/>
        </w:rPr>
      </w:pPr>
      <w:r w:rsidRPr="0069075C">
        <w:rPr>
          <w:rFonts w:ascii="PT Sans" w:hAnsi="PT Sans" w:cs="Arial"/>
          <w:bCs/>
          <w:sz w:val="22"/>
          <w:szCs w:val="22"/>
        </w:rPr>
        <w:t>per i Coltivatori Diretti e gli Imprenditori Agricoli Professionali, purché iscritti nell’apposita previdenza, l’esenzione spetta per tutti i terreni non edificabili, ovunque ubicati (quindi anche in territori pianeggianti). A tal fine, è necessario che detti terreni siano sia posseduti che condotti da parte di tali soggetti;</w:t>
      </w:r>
    </w:p>
    <w:p w:rsidR="00AB42BA" w:rsidRPr="0069075C" w:rsidRDefault="00AB42BA" w:rsidP="00BB6277">
      <w:pPr>
        <w:pStyle w:val="Paragrafoelenco"/>
        <w:numPr>
          <w:ilvl w:val="0"/>
          <w:numId w:val="17"/>
        </w:numPr>
        <w:spacing w:line="320" w:lineRule="exact"/>
        <w:jc w:val="both"/>
        <w:rPr>
          <w:rFonts w:ascii="PT Sans" w:hAnsi="PT Sans" w:cs="Arial"/>
          <w:bCs/>
          <w:sz w:val="22"/>
          <w:szCs w:val="22"/>
        </w:rPr>
      </w:pPr>
      <w:r w:rsidRPr="0069075C">
        <w:rPr>
          <w:rFonts w:ascii="PT Sans" w:hAnsi="PT Sans" w:cs="Arial"/>
          <w:bCs/>
          <w:sz w:val="22"/>
          <w:szCs w:val="22"/>
        </w:rPr>
        <w:t>i terreni a immutabile destinazione agrosilvopastorale a proprietà collettiva indivisibile e inusucapibile sono del tutto esenti.</w:t>
      </w:r>
    </w:p>
    <w:p w:rsidR="00AB42BA" w:rsidRPr="0069075C" w:rsidRDefault="00AB42BA" w:rsidP="00AB42BA">
      <w:pPr>
        <w:pStyle w:val="Paragrafoelenco"/>
        <w:spacing w:line="320" w:lineRule="exact"/>
        <w:ind w:left="360"/>
        <w:jc w:val="both"/>
        <w:rPr>
          <w:rFonts w:ascii="PT Sans" w:hAnsi="PT Sans" w:cs="Arial"/>
          <w:bCs/>
          <w:sz w:val="22"/>
          <w:szCs w:val="22"/>
        </w:rPr>
      </w:pPr>
    </w:p>
    <w:p w:rsidR="00AB42BA" w:rsidRPr="0069075C" w:rsidRDefault="00AB42BA" w:rsidP="00AB42BA">
      <w:pPr>
        <w:pStyle w:val="sottoparagrafo"/>
        <w:spacing w:line="320" w:lineRule="exact"/>
        <w:rPr>
          <w:rFonts w:ascii="PT Sans" w:hAnsi="PT Sans"/>
          <w:i w:val="0"/>
        </w:rPr>
      </w:pPr>
      <w:r w:rsidRPr="0069075C">
        <w:rPr>
          <w:rFonts w:ascii="PT Sans" w:hAnsi="PT Sans"/>
        </w:rPr>
        <w:t xml:space="preserve">Aree </w:t>
      </w:r>
      <w:r w:rsidRPr="0069075C">
        <w:rPr>
          <w:rFonts w:ascii="PT Sans" w:hAnsi="PT Sans"/>
          <w:iCs/>
        </w:rPr>
        <w:t>edificabili</w:t>
      </w:r>
    </w:p>
    <w:p w:rsidR="00AB42BA" w:rsidRPr="0069075C" w:rsidRDefault="00AB42BA" w:rsidP="00AB42BA">
      <w:pPr>
        <w:spacing w:line="320" w:lineRule="exact"/>
        <w:jc w:val="both"/>
        <w:rPr>
          <w:rFonts w:ascii="PT Sans" w:hAnsi="PT Sans" w:cs="Arial"/>
          <w:szCs w:val="22"/>
        </w:rPr>
      </w:pPr>
      <w:r w:rsidRPr="0069075C">
        <w:rPr>
          <w:rFonts w:ascii="PT Sans" w:hAnsi="PT Sans" w:cs="Arial"/>
          <w:szCs w:val="22"/>
        </w:rPr>
        <w:t>Le aree fabbricabili sono tassate tanto ai fini Imu quanto ai fini Tasi. La base imponibile è data dal valore venale in comune commercio. Si ricorda comunque che molti Comuni individuano dei valori di riferimento ai quali il contribuente può adeguarsi per evitare contestazioni future.</w:t>
      </w:r>
    </w:p>
    <w:p w:rsidR="00AB42BA" w:rsidRPr="0069075C" w:rsidRDefault="00AB42BA" w:rsidP="00AB42BA">
      <w:pPr>
        <w:spacing w:line="320" w:lineRule="exact"/>
        <w:jc w:val="both"/>
        <w:rPr>
          <w:rFonts w:ascii="PT Sans" w:hAnsi="PT Sans" w:cs="Arial"/>
          <w:bCs/>
          <w:szCs w:val="22"/>
        </w:rPr>
      </w:pPr>
      <w:r w:rsidRPr="0069075C">
        <w:rPr>
          <w:rFonts w:ascii="PT Sans" w:hAnsi="PT Sans" w:cs="Arial"/>
          <w:bCs/>
          <w:szCs w:val="22"/>
        </w:rPr>
        <w:t>Per i coltivatori diretti e gli imprenditori agricoli professionali è confermata la finzione di non edificabilità delle aree: se tali soggetti coltivano il terreno saranno esentati da Imu come fosse un terreno agricolo, anche se gli strumenti urbanistici lo qualificano suscettibile di utilizzazione edificatoria.</w:t>
      </w:r>
    </w:p>
    <w:p w:rsidR="00AB42BA" w:rsidRPr="0069075C" w:rsidRDefault="00AB42BA" w:rsidP="00AB42BA">
      <w:pPr>
        <w:spacing w:line="320" w:lineRule="exact"/>
        <w:jc w:val="both"/>
        <w:rPr>
          <w:rFonts w:ascii="PT Sans" w:hAnsi="PT Sans" w:cs="Arial"/>
          <w:szCs w:val="22"/>
        </w:rPr>
      </w:pPr>
      <w:r w:rsidRPr="0069075C">
        <w:rPr>
          <w:rFonts w:ascii="PT Sans" w:hAnsi="PT Sans" w:cs="Arial"/>
          <w:szCs w:val="22"/>
        </w:rPr>
        <w:t>In caso di utilizzazione edificatoria dell'area (costruzione di nuovo edificio), di demolizione di fabbricato, di interventi di recupero, ristrutturazione e risanamento conservativo, l’immobile interessato dovrà considerarsi ai fini fiscali area edificabile e la base imponibile sarà costituita dal valore venale.</w:t>
      </w:r>
    </w:p>
    <w:p w:rsidR="00AB42BA" w:rsidRPr="00301148" w:rsidRDefault="00AB42BA" w:rsidP="00AB42BA">
      <w:pPr>
        <w:jc w:val="both"/>
        <w:rPr>
          <w:rFonts w:ascii="PT Sans" w:hAnsi="PT Sans" w:cs="Arial"/>
          <w:sz w:val="10"/>
          <w:szCs w:val="10"/>
          <w:u w:val="single"/>
        </w:rPr>
      </w:pPr>
    </w:p>
    <w:p w:rsidR="00AB42BA" w:rsidRDefault="00AB42BA" w:rsidP="00AB42BA">
      <w:pPr>
        <w:pStyle w:val="corpotestoinformativa"/>
        <w:rPr>
          <w:rFonts w:ascii="PT Sans" w:hAnsi="PT Sans"/>
        </w:rPr>
      </w:pPr>
    </w:p>
    <w:p w:rsidR="00BB6277" w:rsidRDefault="00BB6277" w:rsidP="00BB6277">
      <w:pPr>
        <w:pStyle w:val="corpotestoinformativa"/>
        <w:jc w:val="center"/>
        <w:rPr>
          <w:rFonts w:ascii="PT Sans" w:hAnsi="PT Sans"/>
        </w:rPr>
      </w:pPr>
      <w:r>
        <w:rPr>
          <w:rFonts w:ascii="PT Sans" w:hAnsi="PT Sans"/>
        </w:rPr>
        <w:t>**********</w:t>
      </w:r>
    </w:p>
    <w:p w:rsidR="00AB42BA" w:rsidRPr="00301148" w:rsidRDefault="00AB42BA" w:rsidP="00AB42BA">
      <w:pPr>
        <w:pStyle w:val="corpotestoinformativa"/>
        <w:rPr>
          <w:rFonts w:ascii="PT Sans" w:hAnsi="PT Sans"/>
        </w:rPr>
      </w:pPr>
    </w:p>
    <w:p w:rsidR="00AB42BA" w:rsidRPr="00382FDC" w:rsidRDefault="00AB42BA" w:rsidP="00AB42BA">
      <w:pPr>
        <w:jc w:val="center"/>
        <w:rPr>
          <w:rFonts w:ascii="PT Sans" w:hAnsi="PT Sans"/>
          <w:b/>
          <w:sz w:val="24"/>
        </w:rPr>
      </w:pPr>
      <w:r w:rsidRPr="00382FDC">
        <w:rPr>
          <w:rFonts w:ascii="PT Sans" w:hAnsi="PT Sans"/>
          <w:b/>
          <w:sz w:val="24"/>
        </w:rPr>
        <w:t>LA COMPILAZIONE DELLA DICHIARAZIONE IRAP PER I PICCOLI CONTRIBUENTI</w:t>
      </w:r>
    </w:p>
    <w:p w:rsidR="00AB42BA" w:rsidRDefault="00AB42BA" w:rsidP="00AB42BA">
      <w:pPr>
        <w:jc w:val="both"/>
        <w:rPr>
          <w:rFonts w:ascii="PT Sans" w:hAnsi="PT Sans"/>
          <w:b/>
        </w:rPr>
      </w:pPr>
    </w:p>
    <w:p w:rsidR="00AB42BA" w:rsidRDefault="00AB42BA" w:rsidP="00AB42BA">
      <w:pPr>
        <w:jc w:val="both"/>
        <w:rPr>
          <w:rFonts w:ascii="PT Sans" w:hAnsi="PT Sans"/>
          <w:b/>
        </w:rPr>
      </w:pPr>
    </w:p>
    <w:p w:rsidR="00AB42BA" w:rsidRPr="00382FDC" w:rsidRDefault="00AB42BA" w:rsidP="00AB42BA">
      <w:pPr>
        <w:spacing w:line="320" w:lineRule="exact"/>
        <w:jc w:val="both"/>
        <w:rPr>
          <w:rFonts w:ascii="PT Sans" w:hAnsi="PT Sans"/>
        </w:rPr>
      </w:pPr>
      <w:r w:rsidRPr="00382FDC">
        <w:rPr>
          <w:rFonts w:ascii="PT Sans" w:hAnsi="PT Sans"/>
        </w:rPr>
        <w:t>Gli adempimenti dichiarativi per i piccoli contribuenti sono certamente complicati sul versante dell’Irap.</w:t>
      </w:r>
    </w:p>
    <w:p w:rsidR="00AB42BA" w:rsidRPr="00382FDC" w:rsidRDefault="00AB42BA" w:rsidP="00AB42BA">
      <w:pPr>
        <w:spacing w:line="320" w:lineRule="exact"/>
        <w:jc w:val="both"/>
        <w:rPr>
          <w:rFonts w:ascii="PT Sans" w:hAnsi="PT Sans"/>
        </w:rPr>
      </w:pPr>
      <w:r w:rsidRPr="00382FDC">
        <w:rPr>
          <w:rFonts w:ascii="PT Sans" w:hAnsi="PT Sans"/>
        </w:rPr>
        <w:t>A fronte di una consolidata giurisprudenza che detta i criteri principe d’indagine, la verifica pratica della sussistenza, o meno, dei requisiti sul caso specifico appare quanto mai difficoltosa.</w:t>
      </w:r>
    </w:p>
    <w:p w:rsidR="00AB42BA" w:rsidRPr="00382FDC" w:rsidRDefault="00AB42BA" w:rsidP="00AB42BA">
      <w:pPr>
        <w:spacing w:line="320" w:lineRule="exact"/>
        <w:jc w:val="both"/>
        <w:rPr>
          <w:rFonts w:ascii="PT Sans" w:hAnsi="PT Sans"/>
        </w:rPr>
      </w:pPr>
      <w:r w:rsidRPr="00382FDC">
        <w:rPr>
          <w:rFonts w:ascii="PT Sans" w:hAnsi="PT Sans"/>
        </w:rPr>
        <w:t>Al fine di supportare l’indagine è stato predisposto un questionario di massima che indica gli elementi da approfondire.</w:t>
      </w:r>
    </w:p>
    <w:p w:rsidR="00AB42BA" w:rsidRPr="00382FDC" w:rsidRDefault="00AB42BA" w:rsidP="00AB42BA">
      <w:pPr>
        <w:spacing w:line="320" w:lineRule="exact"/>
        <w:jc w:val="both"/>
        <w:rPr>
          <w:rFonts w:ascii="PT Sans" w:hAnsi="PT Sans"/>
        </w:rPr>
      </w:pPr>
      <w:r w:rsidRPr="00382FDC">
        <w:rPr>
          <w:rFonts w:ascii="PT Sans" w:hAnsi="PT Sans"/>
        </w:rPr>
        <w:t>In ogni caso, deve essere presente che:</w:t>
      </w:r>
    </w:p>
    <w:p w:rsidR="00AB42BA" w:rsidRPr="00382FDC" w:rsidRDefault="00AB42BA" w:rsidP="00BB6277">
      <w:pPr>
        <w:pStyle w:val="Paragrafoelenco"/>
        <w:numPr>
          <w:ilvl w:val="0"/>
          <w:numId w:val="18"/>
        </w:numPr>
        <w:spacing w:line="320" w:lineRule="exact"/>
        <w:jc w:val="both"/>
        <w:rPr>
          <w:rFonts w:ascii="PT Sans" w:hAnsi="PT Sans"/>
          <w:sz w:val="22"/>
        </w:rPr>
      </w:pPr>
      <w:r w:rsidRPr="00382FDC">
        <w:rPr>
          <w:rFonts w:ascii="PT Sans" w:hAnsi="PT Sans"/>
          <w:sz w:val="22"/>
        </w:rPr>
        <w:t>ove la situazione sia assolutamente certa, non si debbono avere esitazioni. Quindi, se manca la soggettività la dichiarazione Irap non va compilata, mentre se la soggettività è certa il modello deve essere inviato, così come deve essere effettuato il versamento del tributo;</w:t>
      </w:r>
    </w:p>
    <w:p w:rsidR="00AB42BA" w:rsidRPr="00382FDC" w:rsidRDefault="00AB42BA" w:rsidP="00BB6277">
      <w:pPr>
        <w:pStyle w:val="Paragrafoelenco"/>
        <w:numPr>
          <w:ilvl w:val="0"/>
          <w:numId w:val="18"/>
        </w:numPr>
        <w:spacing w:line="320" w:lineRule="exact"/>
        <w:jc w:val="both"/>
        <w:rPr>
          <w:rFonts w:ascii="PT Sans" w:hAnsi="PT Sans"/>
          <w:sz w:val="22"/>
        </w:rPr>
      </w:pPr>
      <w:r w:rsidRPr="00382FDC">
        <w:rPr>
          <w:rFonts w:ascii="PT Sans" w:hAnsi="PT Sans"/>
          <w:sz w:val="22"/>
        </w:rPr>
        <w:t>ove la situazione non sia del tutto certa, appare consigliabile evitare soluzioni promiscue, tese a porre in essere comportamenti non coerenti, quali la compilazione del modello, non seguita dal versamento del tributo, ovvero la presentazione della dichiarazione fatta seguire dalla presentazione di una integrativa tesa a cancellare il modello stesso.</w:t>
      </w:r>
    </w:p>
    <w:p w:rsidR="00AB42BA" w:rsidRPr="00382FDC" w:rsidRDefault="00AB42BA" w:rsidP="00AB42BA">
      <w:pPr>
        <w:spacing w:line="320" w:lineRule="exact"/>
        <w:jc w:val="both"/>
        <w:rPr>
          <w:rFonts w:ascii="PT Sans" w:hAnsi="PT Sans"/>
        </w:rPr>
      </w:pPr>
      <w:r w:rsidRPr="00382FDC">
        <w:rPr>
          <w:rFonts w:ascii="PT Sans" w:hAnsi="PT Sans"/>
        </w:rPr>
        <w:lastRenderedPageBreak/>
        <w:t>Infatti, ove si scelga di compilare il modello senza provvedere al versamento del tributo, si riceverà la richiesta di versamento del medesimo, prima con un preavviso di irregolarità e, in caso di inerzia, con una cartella esattoriale.</w:t>
      </w:r>
    </w:p>
    <w:p w:rsidR="00AB42BA" w:rsidRPr="00382FDC" w:rsidRDefault="00AB42BA" w:rsidP="00AB42BA">
      <w:pPr>
        <w:spacing w:line="320" w:lineRule="exact"/>
        <w:jc w:val="both"/>
        <w:rPr>
          <w:rFonts w:ascii="PT Sans" w:hAnsi="PT Sans"/>
        </w:rPr>
      </w:pPr>
      <w:r w:rsidRPr="00382FDC">
        <w:rPr>
          <w:rFonts w:ascii="PT Sans" w:hAnsi="PT Sans"/>
        </w:rPr>
        <w:t>Il preavviso di irregolarità, ad oggi, non rientra pacificamente nel novero dei documenti impugnabili in contenzioso; la successiva cartella (che, invece, è impugnabile) pone invece il contribuente in una situazione di inferiorità, posto che il mancato tempestivo pagamento (fatta salva l’ipotesi di richiesta ed ottenimento della sospensiva), determina il possibile avvio delle azioni esecutive da parte dell’Agenzia della riscossione.</w:t>
      </w:r>
    </w:p>
    <w:p w:rsidR="00AB42BA" w:rsidRPr="00382FDC" w:rsidRDefault="00AB42BA" w:rsidP="00AB42BA">
      <w:pPr>
        <w:spacing w:line="320" w:lineRule="exact"/>
        <w:jc w:val="both"/>
        <w:rPr>
          <w:rFonts w:ascii="PT Sans" w:hAnsi="PT Sans"/>
        </w:rPr>
      </w:pPr>
      <w:r w:rsidRPr="00382FDC">
        <w:rPr>
          <w:rFonts w:ascii="PT Sans" w:hAnsi="PT Sans"/>
        </w:rPr>
        <w:t>Anche la presentazione della dichiarazione, seguita dalla successiva integrativa tesa ad annullare il modello originario, non viene considerata dall’Agenzia un comportamento coerente, posto che si ritiene che con l’integrativa si possa solamente modificare ma non annullare una dichiarazione.</w:t>
      </w:r>
    </w:p>
    <w:p w:rsidR="00AB42BA" w:rsidRPr="00382FDC" w:rsidRDefault="00AB42BA" w:rsidP="00AB42BA">
      <w:pPr>
        <w:spacing w:line="320" w:lineRule="exact"/>
        <w:jc w:val="both"/>
        <w:rPr>
          <w:rFonts w:ascii="PT Sans" w:hAnsi="PT Sans"/>
        </w:rPr>
      </w:pPr>
      <w:r w:rsidRPr="00382FDC">
        <w:rPr>
          <w:rFonts w:ascii="PT Sans" w:hAnsi="PT Sans"/>
        </w:rPr>
        <w:t>In ogni caso, il contribuente ha la possibilità di dimostrare, nella fase contenziosa, l’assenza di soggettività passiva, potendo ritrattare il contenuto della dichiarazione in ogni stato e grado del giudizio.</w:t>
      </w:r>
    </w:p>
    <w:p w:rsidR="00AB42BA" w:rsidRPr="00382FDC" w:rsidRDefault="00AB42BA" w:rsidP="00AB42BA">
      <w:pPr>
        <w:spacing w:line="320" w:lineRule="exact"/>
        <w:jc w:val="both"/>
        <w:rPr>
          <w:rFonts w:ascii="PT Sans" w:hAnsi="PT Sans"/>
        </w:rPr>
      </w:pPr>
      <w:r w:rsidRPr="00382FDC">
        <w:rPr>
          <w:rFonts w:ascii="PT Sans" w:hAnsi="PT Sans"/>
        </w:rPr>
        <w:t>Come ben si comprende, però, se l’originaria dichiarazione non si considera annullata dall’integrativa, il debito originario viene considerato come esistente dall’Amministrazione che, per conseguenza, ne pretende il pagamento.</w:t>
      </w:r>
    </w:p>
    <w:p w:rsidR="00AB42BA" w:rsidRPr="00382FDC" w:rsidRDefault="00AB42BA" w:rsidP="00AB42BA">
      <w:pPr>
        <w:spacing w:line="320" w:lineRule="exact"/>
        <w:jc w:val="both"/>
        <w:rPr>
          <w:rFonts w:ascii="PT Sans" w:hAnsi="PT Sans"/>
        </w:rPr>
      </w:pPr>
      <w:r w:rsidRPr="00382FDC">
        <w:rPr>
          <w:rFonts w:ascii="PT Sans" w:hAnsi="PT Sans"/>
        </w:rPr>
        <w:t>Ecco, allora, che – ove non sussistano dubbi riguardo la soggettività – appare certamente più coerente non presentare il modello.</w:t>
      </w:r>
    </w:p>
    <w:p w:rsidR="00AB42BA" w:rsidRPr="00382FDC" w:rsidRDefault="00AB42BA" w:rsidP="00AB42BA">
      <w:pPr>
        <w:spacing w:line="320" w:lineRule="exact"/>
        <w:jc w:val="both"/>
        <w:rPr>
          <w:rFonts w:ascii="PT Sans" w:hAnsi="PT Sans"/>
        </w:rPr>
      </w:pPr>
      <w:r w:rsidRPr="00382FDC">
        <w:rPr>
          <w:rFonts w:ascii="PT Sans" w:hAnsi="PT Sans"/>
        </w:rPr>
        <w:t>Lo Studio provvederà ad informare i singoli soggetti in merito alla possibile esistenza di dubbi in merito all’obbligo di pagamento del tributo regionale, così da concordare la strategia più opportuna da seguire.</w:t>
      </w:r>
    </w:p>
    <w:p w:rsidR="00AB42BA" w:rsidRPr="00382FDC" w:rsidRDefault="00AB42BA" w:rsidP="00AB42BA">
      <w:pPr>
        <w:spacing w:line="320" w:lineRule="exact"/>
        <w:jc w:val="both"/>
        <w:rPr>
          <w:rFonts w:ascii="PT Sans" w:hAnsi="PT Sans"/>
        </w:rPr>
      </w:pPr>
      <w:r w:rsidRPr="00382FDC">
        <w:rPr>
          <w:rFonts w:ascii="PT Sans" w:hAnsi="PT Sans"/>
        </w:rPr>
        <w:t>Per coloro i quali vi fossero dei precedenti passati (sia in senso positivo che negativo), vale invece l’invito a segnalare qualsiasi variazione intervenuta nell’organizzazione dell’attività capace di modificare le conclusioni cui si era giunti nel passato.</w:t>
      </w:r>
    </w:p>
    <w:p w:rsidR="00AB42BA" w:rsidRPr="00382FDC" w:rsidRDefault="00AB42BA" w:rsidP="00AB42BA">
      <w:pPr>
        <w:spacing w:before="120" w:line="320" w:lineRule="exact"/>
        <w:jc w:val="both"/>
        <w:rPr>
          <w:rFonts w:ascii="PT Sans" w:hAnsi="PT Sans"/>
        </w:rPr>
      </w:pPr>
    </w:p>
    <w:p w:rsidR="00AB42BA" w:rsidRPr="00382FDC" w:rsidRDefault="00AB42BA" w:rsidP="00AB42BA">
      <w:pPr>
        <w:spacing w:line="320" w:lineRule="exact"/>
        <w:rPr>
          <w:rFonts w:ascii="PT Sans" w:hAnsi="PT Sans"/>
          <w:b/>
          <w:color w:val="006EB7"/>
        </w:rPr>
      </w:pPr>
      <w:r w:rsidRPr="00382FDC">
        <w:rPr>
          <w:rFonts w:ascii="PT Sans" w:hAnsi="PT Sans"/>
          <w:b/>
          <w:color w:val="006EB7"/>
        </w:rPr>
        <w:t>Verifica esistenza soggettività passiva Irap</w:t>
      </w:r>
    </w:p>
    <w:p w:rsidR="00AB42BA" w:rsidRPr="00382FDC" w:rsidRDefault="00AB42BA" w:rsidP="00AB42BA">
      <w:pPr>
        <w:spacing w:after="120" w:line="320" w:lineRule="exact"/>
        <w:jc w:val="both"/>
        <w:rPr>
          <w:rFonts w:ascii="PT Sans" w:hAnsi="PT Sans"/>
        </w:rPr>
      </w:pPr>
      <w:r w:rsidRPr="00382FDC">
        <w:rPr>
          <w:rFonts w:ascii="PT Sans" w:hAnsi="PT Sans"/>
        </w:rPr>
        <w:t>Al fine di decidere in merito all’esistenza della soggettività passiva Irap, il contribuente deve valutare la propria posizione in relazione ai seguenti elementi (da ultimo si veda Cassazione, Sezioni Unite</w:t>
      </w:r>
      <w:r>
        <w:rPr>
          <w:rFonts w:ascii="PT Sans" w:hAnsi="PT Sans"/>
        </w:rPr>
        <w:t>,</w:t>
      </w:r>
      <w:r w:rsidRPr="00382FDC">
        <w:rPr>
          <w:rFonts w:ascii="PT Sans" w:hAnsi="PT Sans"/>
        </w:rPr>
        <w:t xml:space="preserve"> </w:t>
      </w:r>
      <w:r>
        <w:rPr>
          <w:rFonts w:ascii="PT Sans" w:hAnsi="PT Sans"/>
        </w:rPr>
        <w:t xml:space="preserve">n. </w:t>
      </w:r>
      <w:r w:rsidRPr="00382FDC">
        <w:rPr>
          <w:rFonts w:ascii="PT Sans" w:hAnsi="PT Sans"/>
        </w:rPr>
        <w:t>9451 del 10</w:t>
      </w:r>
      <w:r>
        <w:rPr>
          <w:rFonts w:ascii="PT Sans" w:hAnsi="PT Sans"/>
        </w:rPr>
        <w:t xml:space="preserve"> maggio </w:t>
      </w:r>
      <w:r w:rsidRPr="00382FDC">
        <w:rPr>
          <w:rFonts w:ascii="PT Sans" w:hAnsi="PT Sans"/>
        </w:rPr>
        <w:t>2016):</w:t>
      </w:r>
    </w:p>
    <w:tbl>
      <w:tblPr>
        <w:tblW w:w="0" w:type="auto"/>
        <w:tblInd w:w="108" w:type="dxa"/>
        <w:tblBorders>
          <w:top w:val="single" w:sz="4" w:space="0" w:color="006EB7"/>
          <w:left w:val="single" w:sz="4" w:space="0" w:color="006EB7"/>
          <w:bottom w:val="single" w:sz="4" w:space="0" w:color="006EB7"/>
          <w:right w:val="single" w:sz="4" w:space="0" w:color="006EB7"/>
          <w:insideH w:val="single" w:sz="4" w:space="0" w:color="006EB7"/>
          <w:insideV w:val="single" w:sz="4" w:space="0" w:color="006EB7"/>
        </w:tblBorders>
        <w:tblLook w:val="04A0" w:firstRow="1" w:lastRow="0" w:firstColumn="1" w:lastColumn="0" w:noHBand="0" w:noVBand="1"/>
      </w:tblPr>
      <w:tblGrid>
        <w:gridCol w:w="1872"/>
        <w:gridCol w:w="6520"/>
        <w:gridCol w:w="1247"/>
      </w:tblGrid>
      <w:tr w:rsidR="00AB42BA" w:rsidRPr="00077FE1" w:rsidTr="006D664E">
        <w:tc>
          <w:tcPr>
            <w:tcW w:w="1872" w:type="dxa"/>
            <w:shd w:val="clear" w:color="auto" w:fill="B2D3E9"/>
          </w:tcPr>
          <w:p w:rsidR="00AB42BA" w:rsidRPr="00077FE1" w:rsidRDefault="00AB42BA" w:rsidP="006D664E">
            <w:pPr>
              <w:spacing w:line="280" w:lineRule="exact"/>
              <w:jc w:val="center"/>
              <w:rPr>
                <w:rFonts w:ascii="PT Sans" w:hAnsi="PT Sans"/>
                <w:b/>
                <w:sz w:val="20"/>
              </w:rPr>
            </w:pPr>
            <w:r w:rsidRPr="00077FE1">
              <w:rPr>
                <w:rFonts w:ascii="PT Sans" w:hAnsi="PT Sans"/>
                <w:b/>
                <w:sz w:val="20"/>
              </w:rPr>
              <w:t>Elemento</w:t>
            </w:r>
          </w:p>
        </w:tc>
        <w:tc>
          <w:tcPr>
            <w:tcW w:w="6520" w:type="dxa"/>
            <w:shd w:val="clear" w:color="auto" w:fill="B2D3E9"/>
          </w:tcPr>
          <w:p w:rsidR="00AB42BA" w:rsidRPr="00077FE1" w:rsidRDefault="00AB42BA" w:rsidP="006D664E">
            <w:pPr>
              <w:spacing w:line="280" w:lineRule="exact"/>
              <w:jc w:val="center"/>
              <w:rPr>
                <w:rFonts w:ascii="PT Sans" w:hAnsi="PT Sans"/>
                <w:b/>
                <w:sz w:val="20"/>
              </w:rPr>
            </w:pPr>
            <w:r w:rsidRPr="00077FE1">
              <w:rPr>
                <w:rFonts w:ascii="PT Sans" w:hAnsi="PT Sans"/>
                <w:b/>
                <w:sz w:val="20"/>
              </w:rPr>
              <w:t>Descrizione</w:t>
            </w:r>
          </w:p>
        </w:tc>
        <w:tc>
          <w:tcPr>
            <w:tcW w:w="1247" w:type="dxa"/>
            <w:shd w:val="clear" w:color="auto" w:fill="B2D3E9"/>
          </w:tcPr>
          <w:p w:rsidR="00AB42BA" w:rsidRPr="00077FE1" w:rsidRDefault="00AB42BA" w:rsidP="006D664E">
            <w:pPr>
              <w:spacing w:line="280" w:lineRule="exact"/>
              <w:jc w:val="center"/>
              <w:rPr>
                <w:rFonts w:ascii="PT Sans" w:hAnsi="PT Sans"/>
                <w:b/>
                <w:i/>
                <w:sz w:val="20"/>
              </w:rPr>
            </w:pPr>
            <w:r w:rsidRPr="00077FE1">
              <w:rPr>
                <w:rFonts w:ascii="PT Sans" w:hAnsi="PT Sans"/>
                <w:b/>
                <w:i/>
                <w:sz w:val="20"/>
              </w:rPr>
              <w:t>Check</w:t>
            </w:r>
          </w:p>
        </w:tc>
      </w:tr>
      <w:tr w:rsidR="00AB42BA" w:rsidRPr="00077FE1" w:rsidTr="006D664E">
        <w:tc>
          <w:tcPr>
            <w:tcW w:w="1872" w:type="dxa"/>
            <w:shd w:val="clear" w:color="auto" w:fill="auto"/>
          </w:tcPr>
          <w:p w:rsidR="00AB42BA" w:rsidRPr="00077FE1" w:rsidRDefault="00AB42BA" w:rsidP="006D664E">
            <w:pPr>
              <w:spacing w:line="280" w:lineRule="exact"/>
              <w:jc w:val="both"/>
              <w:rPr>
                <w:rFonts w:ascii="PT Sans" w:hAnsi="PT Sans"/>
                <w:sz w:val="20"/>
              </w:rPr>
            </w:pPr>
            <w:r w:rsidRPr="00077FE1">
              <w:rPr>
                <w:rFonts w:ascii="PT Sans" w:hAnsi="PT Sans"/>
                <w:sz w:val="20"/>
              </w:rPr>
              <w:t>Responsabilità</w:t>
            </w:r>
          </w:p>
        </w:tc>
        <w:tc>
          <w:tcPr>
            <w:tcW w:w="6520" w:type="dxa"/>
            <w:shd w:val="clear" w:color="auto" w:fill="auto"/>
          </w:tcPr>
          <w:p w:rsidR="00AB42BA" w:rsidRPr="00077FE1" w:rsidRDefault="00AB42BA" w:rsidP="006D664E">
            <w:pPr>
              <w:spacing w:line="280" w:lineRule="exact"/>
              <w:jc w:val="both"/>
              <w:rPr>
                <w:rFonts w:ascii="PT Sans" w:hAnsi="PT Sans"/>
                <w:sz w:val="20"/>
              </w:rPr>
            </w:pPr>
            <w:r w:rsidRPr="00077FE1">
              <w:rPr>
                <w:rFonts w:ascii="PT Sans" w:hAnsi="PT Sans"/>
                <w:sz w:val="20"/>
              </w:rPr>
              <w:t>Il contribuente deve essere, sotto qualsiasi forma, il responsabile dell’organizzazione in cui è inserito; non rileva, invece, il fatto che benefici della presenza della struttura la cui conduzione sia riferibile all’altrui responsabilità e interesse</w:t>
            </w:r>
          </w:p>
        </w:tc>
        <w:tc>
          <w:tcPr>
            <w:tcW w:w="1247" w:type="dxa"/>
            <w:shd w:val="clear" w:color="auto" w:fill="auto"/>
          </w:tcPr>
          <w:p w:rsidR="00AB42BA" w:rsidRPr="00077FE1" w:rsidRDefault="00AB42BA" w:rsidP="006D664E">
            <w:pPr>
              <w:spacing w:line="280" w:lineRule="exact"/>
              <w:jc w:val="both"/>
              <w:rPr>
                <w:rFonts w:ascii="PT Sans" w:hAnsi="PT Sans"/>
                <w:sz w:val="20"/>
              </w:rPr>
            </w:pPr>
          </w:p>
        </w:tc>
      </w:tr>
      <w:tr w:rsidR="00AB42BA" w:rsidRPr="00077FE1" w:rsidTr="006D664E">
        <w:tc>
          <w:tcPr>
            <w:tcW w:w="1872" w:type="dxa"/>
            <w:shd w:val="clear" w:color="auto" w:fill="auto"/>
          </w:tcPr>
          <w:p w:rsidR="00AB42BA" w:rsidRPr="00077FE1" w:rsidRDefault="00AB42BA" w:rsidP="006D664E">
            <w:pPr>
              <w:spacing w:line="280" w:lineRule="exact"/>
              <w:jc w:val="both"/>
              <w:rPr>
                <w:rFonts w:ascii="PT Sans" w:hAnsi="PT Sans"/>
                <w:sz w:val="20"/>
              </w:rPr>
            </w:pPr>
            <w:r w:rsidRPr="00077FE1">
              <w:rPr>
                <w:rFonts w:ascii="PT Sans" w:hAnsi="PT Sans"/>
                <w:sz w:val="20"/>
              </w:rPr>
              <w:t>Beni strumentali</w:t>
            </w:r>
          </w:p>
        </w:tc>
        <w:tc>
          <w:tcPr>
            <w:tcW w:w="6520" w:type="dxa"/>
            <w:shd w:val="clear" w:color="auto" w:fill="auto"/>
          </w:tcPr>
          <w:p w:rsidR="00AB42BA" w:rsidRPr="00077FE1" w:rsidRDefault="00AB42BA" w:rsidP="006D664E">
            <w:pPr>
              <w:spacing w:line="280" w:lineRule="exact"/>
              <w:jc w:val="both"/>
              <w:rPr>
                <w:rFonts w:ascii="PT Sans" w:hAnsi="PT Sans"/>
                <w:sz w:val="20"/>
              </w:rPr>
            </w:pPr>
            <w:r w:rsidRPr="00077FE1">
              <w:rPr>
                <w:rFonts w:ascii="PT Sans" w:hAnsi="PT Sans"/>
                <w:sz w:val="20"/>
              </w:rPr>
              <w:t>Il contribuente deve impiegare beni strumentali eccedenti, secondo la normale esperienza, il minimo indispensabile per lo svolgimento della propria attività; non rileva, invece, il fatto che si utilizzino beni anche di rilevante valore, se gli stessi sono imprescindibili per lo svolgimento della propria attività</w:t>
            </w:r>
          </w:p>
        </w:tc>
        <w:tc>
          <w:tcPr>
            <w:tcW w:w="1247" w:type="dxa"/>
            <w:shd w:val="clear" w:color="auto" w:fill="auto"/>
          </w:tcPr>
          <w:p w:rsidR="00AB42BA" w:rsidRPr="00077FE1" w:rsidRDefault="00AB42BA" w:rsidP="006D664E">
            <w:pPr>
              <w:spacing w:line="280" w:lineRule="exact"/>
              <w:jc w:val="both"/>
              <w:rPr>
                <w:rFonts w:ascii="PT Sans" w:hAnsi="PT Sans"/>
                <w:sz w:val="20"/>
              </w:rPr>
            </w:pPr>
          </w:p>
        </w:tc>
      </w:tr>
      <w:tr w:rsidR="00AB42BA" w:rsidRPr="00077FE1" w:rsidTr="006D664E">
        <w:tc>
          <w:tcPr>
            <w:tcW w:w="1872" w:type="dxa"/>
            <w:shd w:val="clear" w:color="auto" w:fill="auto"/>
          </w:tcPr>
          <w:p w:rsidR="00AB42BA" w:rsidRPr="00077FE1" w:rsidRDefault="00AB42BA" w:rsidP="006D664E">
            <w:pPr>
              <w:spacing w:line="280" w:lineRule="exact"/>
              <w:jc w:val="both"/>
              <w:rPr>
                <w:rFonts w:ascii="PT Sans" w:hAnsi="PT Sans"/>
                <w:sz w:val="20"/>
              </w:rPr>
            </w:pPr>
            <w:r w:rsidRPr="00077FE1">
              <w:rPr>
                <w:rFonts w:ascii="PT Sans" w:hAnsi="PT Sans"/>
                <w:sz w:val="20"/>
              </w:rPr>
              <w:t xml:space="preserve">Lavoro di terzi </w:t>
            </w:r>
          </w:p>
        </w:tc>
        <w:tc>
          <w:tcPr>
            <w:tcW w:w="6520" w:type="dxa"/>
            <w:shd w:val="clear" w:color="auto" w:fill="auto"/>
          </w:tcPr>
          <w:p w:rsidR="00AB42BA" w:rsidRPr="00077FE1" w:rsidRDefault="00AB42BA" w:rsidP="006D664E">
            <w:pPr>
              <w:spacing w:line="280" w:lineRule="exact"/>
              <w:jc w:val="both"/>
              <w:rPr>
                <w:rFonts w:ascii="PT Sans" w:hAnsi="PT Sans"/>
                <w:sz w:val="20"/>
              </w:rPr>
            </w:pPr>
            <w:r w:rsidRPr="00077FE1">
              <w:rPr>
                <w:rFonts w:ascii="PT Sans" w:hAnsi="PT Sans"/>
                <w:sz w:val="20"/>
              </w:rPr>
              <w:t>Il contribuente deve avvalersi, in via non occasionale, di lavoro altri che superi la soglia dell’impiego di un solo collaboratore che esplichi mansioni di segreteria, ovvero meramente esecutive</w:t>
            </w:r>
          </w:p>
        </w:tc>
        <w:tc>
          <w:tcPr>
            <w:tcW w:w="1247" w:type="dxa"/>
            <w:shd w:val="clear" w:color="auto" w:fill="auto"/>
          </w:tcPr>
          <w:p w:rsidR="00AB42BA" w:rsidRPr="00077FE1" w:rsidRDefault="00AB42BA" w:rsidP="006D664E">
            <w:pPr>
              <w:spacing w:line="280" w:lineRule="exact"/>
              <w:jc w:val="both"/>
              <w:rPr>
                <w:rFonts w:ascii="PT Sans" w:hAnsi="PT Sans"/>
                <w:sz w:val="20"/>
              </w:rPr>
            </w:pPr>
          </w:p>
        </w:tc>
      </w:tr>
    </w:tbl>
    <w:p w:rsidR="00AB42BA" w:rsidRPr="00382FDC" w:rsidRDefault="00AB42BA" w:rsidP="00AB42BA">
      <w:pPr>
        <w:spacing w:before="120" w:line="320" w:lineRule="exact"/>
        <w:jc w:val="both"/>
        <w:rPr>
          <w:rFonts w:ascii="PT Sans" w:hAnsi="PT Sans"/>
        </w:rPr>
      </w:pPr>
      <w:r>
        <w:rPr>
          <w:rFonts w:ascii="PT Sans" w:hAnsi="PT Sans"/>
        </w:rPr>
        <w:lastRenderedPageBreak/>
        <w:t xml:space="preserve">È </w:t>
      </w:r>
      <w:r w:rsidRPr="00382FDC">
        <w:rPr>
          <w:rFonts w:ascii="PT Sans" w:hAnsi="PT Sans"/>
        </w:rPr>
        <w:t>sufficiente che si riscontri la presenza anche di uno solo dei caratteri di cui sopra, affinché il tributo sia dovuto.</w:t>
      </w:r>
    </w:p>
    <w:p w:rsidR="00AB42BA" w:rsidRPr="00382FDC" w:rsidRDefault="00AB42BA" w:rsidP="00AB42BA">
      <w:pPr>
        <w:spacing w:line="320" w:lineRule="exact"/>
        <w:jc w:val="both"/>
        <w:rPr>
          <w:rFonts w:ascii="PT Sans" w:hAnsi="PT Sans"/>
        </w:rPr>
      </w:pPr>
      <w:r w:rsidRPr="00382FDC">
        <w:rPr>
          <w:rFonts w:ascii="PT Sans" w:hAnsi="PT Sans"/>
        </w:rPr>
        <w:t>Ovviamente:</w:t>
      </w:r>
    </w:p>
    <w:p w:rsidR="00AB42BA" w:rsidRPr="00382FDC" w:rsidRDefault="00AB42BA" w:rsidP="00BB6277">
      <w:pPr>
        <w:pStyle w:val="Paragrafoelenco"/>
        <w:numPr>
          <w:ilvl w:val="0"/>
          <w:numId w:val="19"/>
        </w:numPr>
        <w:spacing w:line="320" w:lineRule="exact"/>
        <w:jc w:val="both"/>
        <w:rPr>
          <w:rFonts w:ascii="PT Sans" w:hAnsi="PT Sans"/>
          <w:sz w:val="22"/>
        </w:rPr>
      </w:pPr>
      <w:r w:rsidRPr="00382FDC">
        <w:rPr>
          <w:rFonts w:ascii="PT Sans" w:hAnsi="PT Sans"/>
          <w:sz w:val="22"/>
        </w:rPr>
        <w:t>il riscontro va fatto caso per caso e può non essere agevole;</w:t>
      </w:r>
    </w:p>
    <w:p w:rsidR="00AB42BA" w:rsidRPr="00382FDC" w:rsidRDefault="00AB42BA" w:rsidP="00BB6277">
      <w:pPr>
        <w:pStyle w:val="Paragrafoelenco"/>
        <w:numPr>
          <w:ilvl w:val="0"/>
          <w:numId w:val="19"/>
        </w:numPr>
        <w:spacing w:line="320" w:lineRule="exact"/>
        <w:jc w:val="both"/>
        <w:rPr>
          <w:rFonts w:ascii="PT Sans" w:hAnsi="PT Sans"/>
          <w:sz w:val="22"/>
        </w:rPr>
      </w:pPr>
      <w:r w:rsidRPr="00382FDC">
        <w:rPr>
          <w:rFonts w:ascii="PT Sans" w:hAnsi="PT Sans"/>
          <w:sz w:val="22"/>
        </w:rPr>
        <w:t>possono esservi delle sfumature e delle situazione di confine che non sono facili da superare, specialmente quando non è presente una specifica pronuncia di Cassazione che riguarda il caso specifico;</w:t>
      </w:r>
    </w:p>
    <w:p w:rsidR="00AB42BA" w:rsidRPr="00382FDC" w:rsidRDefault="00AB42BA" w:rsidP="00BB6277">
      <w:pPr>
        <w:pStyle w:val="Paragrafoelenco"/>
        <w:numPr>
          <w:ilvl w:val="0"/>
          <w:numId w:val="19"/>
        </w:numPr>
        <w:spacing w:line="320" w:lineRule="exact"/>
        <w:jc w:val="both"/>
        <w:rPr>
          <w:rFonts w:ascii="PT Sans" w:hAnsi="PT Sans"/>
          <w:sz w:val="22"/>
        </w:rPr>
      </w:pPr>
      <w:r w:rsidRPr="00382FDC">
        <w:rPr>
          <w:rFonts w:ascii="PT Sans" w:hAnsi="PT Sans"/>
          <w:sz w:val="22"/>
        </w:rPr>
        <w:t>è sempre il contribuente che ha l’onere di provare l’assenza dei caratteri di cui sopra, qualora sia egli ad agire per ottenere la restituzione del tributo;</w:t>
      </w:r>
    </w:p>
    <w:p w:rsidR="00AB42BA" w:rsidRPr="00382FDC" w:rsidRDefault="00AB42BA" w:rsidP="00BB6277">
      <w:pPr>
        <w:pStyle w:val="Paragrafoelenco"/>
        <w:numPr>
          <w:ilvl w:val="0"/>
          <w:numId w:val="19"/>
        </w:numPr>
        <w:spacing w:line="320" w:lineRule="exact"/>
        <w:jc w:val="both"/>
        <w:rPr>
          <w:rFonts w:ascii="PT Sans" w:hAnsi="PT Sans"/>
          <w:sz w:val="22"/>
        </w:rPr>
      </w:pPr>
      <w:r w:rsidRPr="00382FDC">
        <w:rPr>
          <w:rFonts w:ascii="PT Sans" w:hAnsi="PT Sans"/>
          <w:sz w:val="22"/>
        </w:rPr>
        <w:t>è, viceversa, l’Amministrazione finanziaria a dover provare la sussistenza della soggettività, ove agisca per richiedere il tributo ad un contribuente che non si ritenga interessato dallo stesso.</w:t>
      </w:r>
    </w:p>
    <w:p w:rsidR="00AB42BA" w:rsidRPr="00382FDC" w:rsidRDefault="00AB42BA" w:rsidP="00AB42BA">
      <w:pPr>
        <w:spacing w:line="320" w:lineRule="exact"/>
        <w:jc w:val="both"/>
        <w:rPr>
          <w:rFonts w:ascii="PT Sans" w:hAnsi="PT Sans"/>
        </w:rPr>
      </w:pPr>
      <w:r w:rsidRPr="00382FDC">
        <w:rPr>
          <w:rFonts w:ascii="PT Sans" w:hAnsi="PT Sans"/>
        </w:rPr>
        <w:t>Al fine di poter meglio analizzare le singole situazioni, si propone, nella tabella che segue, una parziale rassegna delle più significative pronunce di Cassazione che sono state emanate sul tema.</w:t>
      </w:r>
    </w:p>
    <w:p w:rsidR="00AB42BA" w:rsidRPr="00382FDC" w:rsidRDefault="00AB42BA" w:rsidP="00AB42BA">
      <w:pPr>
        <w:spacing w:line="320" w:lineRule="exact"/>
        <w:jc w:val="both"/>
        <w:rPr>
          <w:rFonts w:ascii="PT Sans" w:hAnsi="PT Sans"/>
        </w:rPr>
      </w:pPr>
    </w:p>
    <w:tbl>
      <w:tblPr>
        <w:tblW w:w="0" w:type="auto"/>
        <w:tblInd w:w="108" w:type="dxa"/>
        <w:tblBorders>
          <w:top w:val="single" w:sz="4" w:space="0" w:color="006EB7"/>
          <w:left w:val="single" w:sz="4" w:space="0" w:color="006EB7"/>
          <w:bottom w:val="single" w:sz="4" w:space="0" w:color="006EB7"/>
          <w:right w:val="single" w:sz="4" w:space="0" w:color="006EB7"/>
          <w:insideH w:val="single" w:sz="4" w:space="0" w:color="006EB7"/>
          <w:insideV w:val="single" w:sz="4" w:space="0" w:color="006EB7"/>
        </w:tblBorders>
        <w:tblLook w:val="04A0" w:firstRow="1" w:lastRow="0" w:firstColumn="1" w:lastColumn="0" w:noHBand="0" w:noVBand="1"/>
      </w:tblPr>
      <w:tblGrid>
        <w:gridCol w:w="1985"/>
        <w:gridCol w:w="4678"/>
        <w:gridCol w:w="2976"/>
      </w:tblGrid>
      <w:tr w:rsidR="00AB42BA" w:rsidRPr="00077FE1" w:rsidTr="006D664E">
        <w:tc>
          <w:tcPr>
            <w:tcW w:w="1985" w:type="dxa"/>
            <w:shd w:val="clear" w:color="auto" w:fill="B2D3E9"/>
          </w:tcPr>
          <w:p w:rsidR="00AB42BA" w:rsidRPr="00077FE1" w:rsidRDefault="00AB42BA" w:rsidP="006D664E">
            <w:pPr>
              <w:spacing w:line="280" w:lineRule="exact"/>
              <w:jc w:val="center"/>
              <w:rPr>
                <w:rFonts w:ascii="PT Sans" w:hAnsi="PT Sans"/>
                <w:b/>
                <w:sz w:val="20"/>
                <w:szCs w:val="20"/>
              </w:rPr>
            </w:pPr>
            <w:r w:rsidRPr="00077FE1">
              <w:rPr>
                <w:rFonts w:ascii="PT Sans" w:hAnsi="PT Sans"/>
                <w:b/>
                <w:sz w:val="20"/>
                <w:szCs w:val="20"/>
              </w:rPr>
              <w:t>Elemento</w:t>
            </w:r>
          </w:p>
        </w:tc>
        <w:tc>
          <w:tcPr>
            <w:tcW w:w="4678" w:type="dxa"/>
            <w:shd w:val="clear" w:color="auto" w:fill="B2D3E9"/>
          </w:tcPr>
          <w:p w:rsidR="00AB42BA" w:rsidRPr="00077FE1" w:rsidRDefault="00AB42BA" w:rsidP="006D664E">
            <w:pPr>
              <w:spacing w:line="280" w:lineRule="exact"/>
              <w:jc w:val="center"/>
              <w:rPr>
                <w:rFonts w:ascii="PT Sans" w:hAnsi="PT Sans"/>
                <w:b/>
                <w:sz w:val="20"/>
                <w:szCs w:val="20"/>
              </w:rPr>
            </w:pPr>
            <w:r w:rsidRPr="00077FE1">
              <w:rPr>
                <w:rFonts w:ascii="PT Sans" w:hAnsi="PT Sans"/>
                <w:b/>
                <w:sz w:val="20"/>
                <w:szCs w:val="20"/>
              </w:rPr>
              <w:t>Descrizione</w:t>
            </w:r>
          </w:p>
        </w:tc>
        <w:tc>
          <w:tcPr>
            <w:tcW w:w="2976" w:type="dxa"/>
            <w:shd w:val="clear" w:color="auto" w:fill="B2D3E9"/>
          </w:tcPr>
          <w:p w:rsidR="00AB42BA" w:rsidRPr="00077FE1" w:rsidRDefault="00AB42BA" w:rsidP="006D664E">
            <w:pPr>
              <w:spacing w:line="280" w:lineRule="exact"/>
              <w:jc w:val="center"/>
              <w:rPr>
                <w:rFonts w:ascii="PT Sans" w:hAnsi="PT Sans"/>
                <w:b/>
                <w:sz w:val="20"/>
                <w:szCs w:val="20"/>
              </w:rPr>
            </w:pPr>
            <w:r w:rsidRPr="00077FE1">
              <w:rPr>
                <w:rFonts w:ascii="PT Sans" w:hAnsi="PT Sans"/>
                <w:b/>
                <w:sz w:val="20"/>
                <w:szCs w:val="20"/>
              </w:rPr>
              <w:t>Estremi</w:t>
            </w:r>
          </w:p>
        </w:tc>
      </w:tr>
      <w:tr w:rsidR="00AB42BA" w:rsidRPr="00077FE1" w:rsidTr="006D664E">
        <w:tc>
          <w:tcPr>
            <w:tcW w:w="1985" w:type="dxa"/>
            <w:vMerge w:val="restart"/>
            <w:shd w:val="clear" w:color="auto" w:fill="auto"/>
          </w:tcPr>
          <w:p w:rsidR="00AB42BA" w:rsidRPr="00077FE1" w:rsidRDefault="00AB42BA" w:rsidP="006D664E">
            <w:pPr>
              <w:spacing w:line="280" w:lineRule="exact"/>
              <w:rPr>
                <w:rFonts w:ascii="PT Sans" w:hAnsi="PT Sans"/>
                <w:sz w:val="20"/>
                <w:szCs w:val="20"/>
              </w:rPr>
            </w:pPr>
            <w:r w:rsidRPr="00077FE1">
              <w:rPr>
                <w:rFonts w:ascii="PT Sans" w:hAnsi="PT Sans"/>
                <w:sz w:val="20"/>
                <w:szCs w:val="20"/>
              </w:rPr>
              <w:t>Dimensione dei componenti positivi, negativi e del reddito</w:t>
            </w:r>
          </w:p>
        </w:tc>
        <w:tc>
          <w:tcPr>
            <w:tcW w:w="4678" w:type="dxa"/>
            <w:shd w:val="clear" w:color="auto" w:fill="auto"/>
          </w:tcPr>
          <w:p w:rsidR="00AB42BA" w:rsidRPr="00077FE1" w:rsidRDefault="00AB42BA" w:rsidP="006D664E">
            <w:pPr>
              <w:spacing w:line="280" w:lineRule="exact"/>
              <w:jc w:val="both"/>
              <w:rPr>
                <w:rFonts w:ascii="PT Sans" w:hAnsi="PT Sans"/>
                <w:spacing w:val="-4"/>
                <w:sz w:val="20"/>
                <w:szCs w:val="20"/>
              </w:rPr>
            </w:pPr>
            <w:r w:rsidRPr="00077FE1">
              <w:rPr>
                <w:rFonts w:ascii="PT Sans" w:hAnsi="PT Sans"/>
                <w:spacing w:val="-4"/>
                <w:sz w:val="20"/>
                <w:szCs w:val="20"/>
              </w:rPr>
              <w:t>Elevato ammontare dei compensi: non rileva di per sé</w:t>
            </w:r>
          </w:p>
        </w:tc>
        <w:tc>
          <w:tcPr>
            <w:tcW w:w="2976" w:type="dxa"/>
            <w:shd w:val="clear" w:color="auto" w:fill="auto"/>
          </w:tcPr>
          <w:p w:rsidR="00AB42BA" w:rsidRPr="00077FE1" w:rsidRDefault="00AB42BA" w:rsidP="006D664E">
            <w:pPr>
              <w:spacing w:line="280" w:lineRule="exact"/>
              <w:jc w:val="both"/>
              <w:rPr>
                <w:rFonts w:ascii="PT Sans" w:hAnsi="PT Sans"/>
                <w:sz w:val="20"/>
                <w:szCs w:val="20"/>
              </w:rPr>
            </w:pPr>
            <w:r w:rsidRPr="00077FE1">
              <w:rPr>
                <w:rFonts w:ascii="PT Sans" w:hAnsi="PT Sans"/>
                <w:sz w:val="20"/>
                <w:szCs w:val="20"/>
              </w:rPr>
              <w:t>Cassazione n. 28963/2017</w:t>
            </w:r>
          </w:p>
        </w:tc>
      </w:tr>
      <w:tr w:rsidR="00AB42BA" w:rsidRPr="00077FE1" w:rsidTr="006D664E">
        <w:tc>
          <w:tcPr>
            <w:tcW w:w="1985" w:type="dxa"/>
            <w:vMerge/>
            <w:shd w:val="clear" w:color="auto" w:fill="auto"/>
          </w:tcPr>
          <w:p w:rsidR="00AB42BA" w:rsidRPr="00077FE1" w:rsidRDefault="00AB42BA" w:rsidP="006D664E">
            <w:pPr>
              <w:spacing w:line="280" w:lineRule="exact"/>
              <w:rPr>
                <w:rFonts w:ascii="PT Sans" w:hAnsi="PT Sans"/>
                <w:sz w:val="20"/>
                <w:szCs w:val="20"/>
              </w:rPr>
            </w:pPr>
          </w:p>
        </w:tc>
        <w:tc>
          <w:tcPr>
            <w:tcW w:w="4678" w:type="dxa"/>
            <w:shd w:val="clear" w:color="auto" w:fill="auto"/>
          </w:tcPr>
          <w:p w:rsidR="00AB42BA" w:rsidRPr="00077FE1" w:rsidRDefault="00AB42BA" w:rsidP="006D664E">
            <w:pPr>
              <w:spacing w:line="280" w:lineRule="exact"/>
              <w:jc w:val="both"/>
              <w:rPr>
                <w:rFonts w:ascii="PT Sans" w:hAnsi="PT Sans"/>
                <w:sz w:val="20"/>
                <w:szCs w:val="20"/>
              </w:rPr>
            </w:pPr>
            <w:r w:rsidRPr="00077FE1">
              <w:rPr>
                <w:rFonts w:ascii="PT Sans" w:hAnsi="PT Sans"/>
                <w:sz w:val="20"/>
                <w:szCs w:val="20"/>
              </w:rPr>
              <w:t>Incidenza dei costi sui proventi: non rileva di per sé</w:t>
            </w:r>
          </w:p>
        </w:tc>
        <w:tc>
          <w:tcPr>
            <w:tcW w:w="2976" w:type="dxa"/>
            <w:shd w:val="clear" w:color="auto" w:fill="auto"/>
          </w:tcPr>
          <w:p w:rsidR="00AB42BA" w:rsidRPr="00077FE1" w:rsidRDefault="00AB42BA" w:rsidP="006D664E">
            <w:pPr>
              <w:spacing w:line="280" w:lineRule="exact"/>
              <w:jc w:val="both"/>
              <w:rPr>
                <w:rFonts w:ascii="PT Sans" w:hAnsi="PT Sans"/>
                <w:sz w:val="20"/>
                <w:szCs w:val="20"/>
              </w:rPr>
            </w:pPr>
            <w:r w:rsidRPr="00077FE1">
              <w:rPr>
                <w:rFonts w:ascii="PT Sans" w:hAnsi="PT Sans"/>
                <w:sz w:val="20"/>
                <w:szCs w:val="20"/>
              </w:rPr>
              <w:t>Cassazione n. 4851/2018</w:t>
            </w:r>
          </w:p>
          <w:p w:rsidR="00AB42BA" w:rsidRPr="00077FE1" w:rsidRDefault="00AB42BA" w:rsidP="006D664E">
            <w:pPr>
              <w:spacing w:line="280" w:lineRule="exact"/>
              <w:jc w:val="both"/>
              <w:rPr>
                <w:rFonts w:ascii="PT Sans" w:hAnsi="PT Sans"/>
                <w:sz w:val="20"/>
                <w:szCs w:val="20"/>
              </w:rPr>
            </w:pPr>
            <w:r w:rsidRPr="00077FE1">
              <w:rPr>
                <w:rFonts w:ascii="PT Sans" w:hAnsi="PT Sans"/>
                <w:sz w:val="20"/>
                <w:szCs w:val="20"/>
              </w:rPr>
              <w:t>Cassazione n. 4783/2018</w:t>
            </w:r>
          </w:p>
        </w:tc>
      </w:tr>
      <w:tr w:rsidR="00AB42BA" w:rsidRPr="00077FE1" w:rsidTr="006D664E">
        <w:tc>
          <w:tcPr>
            <w:tcW w:w="1985" w:type="dxa"/>
            <w:vMerge/>
            <w:shd w:val="clear" w:color="auto" w:fill="auto"/>
          </w:tcPr>
          <w:p w:rsidR="00AB42BA" w:rsidRPr="00077FE1" w:rsidRDefault="00AB42BA" w:rsidP="006D664E">
            <w:pPr>
              <w:spacing w:line="280" w:lineRule="exact"/>
              <w:rPr>
                <w:rFonts w:ascii="PT Sans" w:hAnsi="PT Sans"/>
                <w:sz w:val="20"/>
                <w:szCs w:val="20"/>
              </w:rPr>
            </w:pPr>
          </w:p>
        </w:tc>
        <w:tc>
          <w:tcPr>
            <w:tcW w:w="4678" w:type="dxa"/>
            <w:shd w:val="clear" w:color="auto" w:fill="auto"/>
          </w:tcPr>
          <w:p w:rsidR="00AB42BA" w:rsidRPr="00077FE1" w:rsidRDefault="00AB42BA" w:rsidP="006D664E">
            <w:pPr>
              <w:spacing w:line="280" w:lineRule="exact"/>
              <w:jc w:val="both"/>
              <w:rPr>
                <w:rFonts w:ascii="PT Sans" w:hAnsi="PT Sans"/>
                <w:sz w:val="20"/>
                <w:szCs w:val="20"/>
              </w:rPr>
            </w:pPr>
            <w:r w:rsidRPr="00077FE1">
              <w:rPr>
                <w:rFonts w:ascii="PT Sans" w:hAnsi="PT Sans"/>
                <w:sz w:val="20"/>
                <w:szCs w:val="20"/>
              </w:rPr>
              <w:t>Reddito professionale elevato: non rileva di per sé</w:t>
            </w:r>
          </w:p>
        </w:tc>
        <w:tc>
          <w:tcPr>
            <w:tcW w:w="2976" w:type="dxa"/>
            <w:shd w:val="clear" w:color="auto" w:fill="auto"/>
          </w:tcPr>
          <w:p w:rsidR="00AB42BA" w:rsidRPr="00077FE1" w:rsidRDefault="00AB42BA" w:rsidP="006D664E">
            <w:pPr>
              <w:spacing w:line="280" w:lineRule="exact"/>
              <w:jc w:val="both"/>
              <w:rPr>
                <w:rFonts w:ascii="PT Sans" w:hAnsi="PT Sans"/>
                <w:sz w:val="20"/>
                <w:szCs w:val="20"/>
              </w:rPr>
            </w:pPr>
            <w:r w:rsidRPr="00077FE1">
              <w:rPr>
                <w:rFonts w:ascii="PT Sans" w:hAnsi="PT Sans"/>
                <w:sz w:val="20"/>
                <w:szCs w:val="20"/>
              </w:rPr>
              <w:t>Cassazione n. 6493/2018</w:t>
            </w:r>
          </w:p>
          <w:p w:rsidR="00AB42BA" w:rsidRPr="00077FE1" w:rsidRDefault="00AB42BA" w:rsidP="006D664E">
            <w:pPr>
              <w:spacing w:line="280" w:lineRule="exact"/>
              <w:jc w:val="both"/>
              <w:rPr>
                <w:rFonts w:ascii="PT Sans" w:hAnsi="PT Sans"/>
                <w:sz w:val="20"/>
                <w:szCs w:val="20"/>
              </w:rPr>
            </w:pPr>
            <w:r w:rsidRPr="00077FE1">
              <w:rPr>
                <w:rFonts w:ascii="PT Sans" w:hAnsi="PT Sans"/>
                <w:sz w:val="20"/>
                <w:szCs w:val="20"/>
              </w:rPr>
              <w:t>Cassazione n. 13038/2009</w:t>
            </w:r>
          </w:p>
        </w:tc>
      </w:tr>
      <w:tr w:rsidR="00AB42BA" w:rsidRPr="00077FE1" w:rsidTr="006D664E">
        <w:tc>
          <w:tcPr>
            <w:tcW w:w="1985" w:type="dxa"/>
            <w:shd w:val="clear" w:color="auto" w:fill="auto"/>
          </w:tcPr>
          <w:p w:rsidR="00AB42BA" w:rsidRPr="00077FE1" w:rsidRDefault="00AB42BA" w:rsidP="006D664E">
            <w:pPr>
              <w:spacing w:line="280" w:lineRule="exact"/>
              <w:rPr>
                <w:rFonts w:ascii="PT Sans" w:hAnsi="PT Sans"/>
                <w:sz w:val="20"/>
                <w:szCs w:val="20"/>
              </w:rPr>
            </w:pPr>
            <w:r w:rsidRPr="00077FE1">
              <w:rPr>
                <w:rFonts w:ascii="PT Sans" w:hAnsi="PT Sans"/>
                <w:sz w:val="20"/>
                <w:szCs w:val="20"/>
              </w:rPr>
              <w:t>Responsabilità organizzazione</w:t>
            </w:r>
          </w:p>
        </w:tc>
        <w:tc>
          <w:tcPr>
            <w:tcW w:w="4678" w:type="dxa"/>
            <w:shd w:val="clear" w:color="auto" w:fill="auto"/>
          </w:tcPr>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Erogazione compensi ad una società per le prestazioni di una truccatrice e di autori di testi ad un attore: non rileva perché il contribuente non è responsabile della organizzazione</w:t>
            </w:r>
          </w:p>
        </w:tc>
        <w:tc>
          <w:tcPr>
            <w:tcW w:w="2976" w:type="dxa"/>
            <w:shd w:val="clear" w:color="auto" w:fill="auto"/>
          </w:tcPr>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Cassazione n. 29863/2017</w:t>
            </w:r>
          </w:p>
        </w:tc>
      </w:tr>
      <w:tr w:rsidR="00AB42BA" w:rsidRPr="00077FE1" w:rsidTr="006D664E">
        <w:tc>
          <w:tcPr>
            <w:tcW w:w="1985" w:type="dxa"/>
            <w:vMerge w:val="restart"/>
            <w:shd w:val="clear" w:color="auto" w:fill="auto"/>
          </w:tcPr>
          <w:p w:rsidR="00AB42BA" w:rsidRPr="00077FE1" w:rsidRDefault="00AB42BA" w:rsidP="006D664E">
            <w:pPr>
              <w:spacing w:line="280" w:lineRule="exact"/>
              <w:rPr>
                <w:rFonts w:ascii="PT Sans" w:hAnsi="PT Sans"/>
                <w:sz w:val="20"/>
                <w:szCs w:val="20"/>
              </w:rPr>
            </w:pPr>
            <w:r w:rsidRPr="00077FE1">
              <w:rPr>
                <w:rFonts w:ascii="PT Sans" w:hAnsi="PT Sans"/>
                <w:sz w:val="20"/>
                <w:szCs w:val="20"/>
              </w:rPr>
              <w:t>Valore beni strumentali</w:t>
            </w:r>
          </w:p>
        </w:tc>
        <w:tc>
          <w:tcPr>
            <w:tcW w:w="4678" w:type="dxa"/>
            <w:shd w:val="clear" w:color="auto" w:fill="auto"/>
          </w:tcPr>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Odontoiatra con tre studi, di cui 2 per svolgere attività in convenzione e uno per attività privata: deve versare Irap</w:t>
            </w:r>
          </w:p>
        </w:tc>
        <w:tc>
          <w:tcPr>
            <w:tcW w:w="2976" w:type="dxa"/>
            <w:shd w:val="clear" w:color="auto" w:fill="auto"/>
          </w:tcPr>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Cassazione n. 7495/2018</w:t>
            </w:r>
          </w:p>
        </w:tc>
      </w:tr>
      <w:tr w:rsidR="00AB42BA" w:rsidRPr="00077FE1" w:rsidTr="006D664E">
        <w:tc>
          <w:tcPr>
            <w:tcW w:w="1985" w:type="dxa"/>
            <w:vMerge/>
            <w:shd w:val="clear" w:color="auto" w:fill="auto"/>
          </w:tcPr>
          <w:p w:rsidR="00AB42BA" w:rsidRPr="00077FE1" w:rsidRDefault="00AB42BA" w:rsidP="006D664E">
            <w:pPr>
              <w:spacing w:line="280" w:lineRule="exact"/>
              <w:rPr>
                <w:rFonts w:ascii="PT Sans" w:hAnsi="PT Sans"/>
                <w:sz w:val="20"/>
                <w:szCs w:val="20"/>
              </w:rPr>
            </w:pPr>
          </w:p>
        </w:tc>
        <w:tc>
          <w:tcPr>
            <w:tcW w:w="4678" w:type="dxa"/>
            <w:shd w:val="clear" w:color="auto" w:fill="auto"/>
          </w:tcPr>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Medico con due studi, nei quali svolge attività in convenzione con Ssn: non rileva</w:t>
            </w:r>
          </w:p>
        </w:tc>
        <w:tc>
          <w:tcPr>
            <w:tcW w:w="2976" w:type="dxa"/>
            <w:shd w:val="clear" w:color="auto" w:fill="auto"/>
          </w:tcPr>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Cassazione n. 6193/2018</w:t>
            </w:r>
          </w:p>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Cassazione n. 23838/2016</w:t>
            </w:r>
          </w:p>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Cassazione n. 17569/2016</w:t>
            </w:r>
          </w:p>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Cassazione n. 17742/2016</w:t>
            </w:r>
          </w:p>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Cassazione n. 19011/2016</w:t>
            </w:r>
          </w:p>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Cassazione n. 2967/2014</w:t>
            </w:r>
          </w:p>
        </w:tc>
      </w:tr>
      <w:tr w:rsidR="00AB42BA" w:rsidRPr="00077FE1" w:rsidTr="006D664E">
        <w:tc>
          <w:tcPr>
            <w:tcW w:w="1985" w:type="dxa"/>
            <w:vMerge/>
            <w:shd w:val="clear" w:color="auto" w:fill="auto"/>
          </w:tcPr>
          <w:p w:rsidR="00AB42BA" w:rsidRPr="00077FE1" w:rsidRDefault="00AB42BA" w:rsidP="006D664E">
            <w:pPr>
              <w:spacing w:line="280" w:lineRule="exact"/>
              <w:rPr>
                <w:rFonts w:ascii="PT Sans" w:hAnsi="PT Sans"/>
                <w:sz w:val="20"/>
                <w:szCs w:val="20"/>
              </w:rPr>
            </w:pPr>
          </w:p>
        </w:tc>
        <w:tc>
          <w:tcPr>
            <w:tcW w:w="4678" w:type="dxa"/>
            <w:shd w:val="clear" w:color="auto" w:fill="auto"/>
          </w:tcPr>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Beni strumentali di valore elevato: non rilevano se rappresentano strumenti indispensabile per lo svolgimento dell’attività</w:t>
            </w:r>
          </w:p>
        </w:tc>
        <w:tc>
          <w:tcPr>
            <w:tcW w:w="2976" w:type="dxa"/>
            <w:shd w:val="clear" w:color="auto" w:fill="auto"/>
          </w:tcPr>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Cassazione n. 573/2016</w:t>
            </w:r>
          </w:p>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Cassazione n. 17671/2016</w:t>
            </w:r>
          </w:p>
        </w:tc>
      </w:tr>
      <w:tr w:rsidR="00AB42BA" w:rsidRPr="00077FE1" w:rsidTr="006D664E">
        <w:tc>
          <w:tcPr>
            <w:tcW w:w="1985" w:type="dxa"/>
            <w:vMerge w:val="restart"/>
            <w:shd w:val="clear" w:color="auto" w:fill="auto"/>
          </w:tcPr>
          <w:p w:rsidR="00AB42BA" w:rsidRPr="00077FE1" w:rsidRDefault="00AB42BA" w:rsidP="006D664E">
            <w:pPr>
              <w:spacing w:line="280" w:lineRule="exact"/>
              <w:rPr>
                <w:rFonts w:ascii="PT Sans" w:hAnsi="PT Sans"/>
                <w:sz w:val="20"/>
                <w:szCs w:val="20"/>
              </w:rPr>
            </w:pPr>
            <w:r w:rsidRPr="00077FE1">
              <w:rPr>
                <w:rFonts w:ascii="PT Sans" w:hAnsi="PT Sans"/>
                <w:sz w:val="20"/>
                <w:szCs w:val="20"/>
              </w:rPr>
              <w:t>Lavoro altrui</w:t>
            </w:r>
          </w:p>
        </w:tc>
        <w:tc>
          <w:tcPr>
            <w:tcW w:w="4678" w:type="dxa"/>
            <w:shd w:val="clear" w:color="auto" w:fill="auto"/>
          </w:tcPr>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Forma giuridica dell’accordo (dipendente, collaboratore, società di servizi esterna, associazione professionale, etc.): irrilevante</w:t>
            </w:r>
          </w:p>
        </w:tc>
        <w:tc>
          <w:tcPr>
            <w:tcW w:w="2976" w:type="dxa"/>
            <w:shd w:val="clear" w:color="auto" w:fill="auto"/>
          </w:tcPr>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 xml:space="preserve">Cassazione n. 12287/2015 </w:t>
            </w:r>
          </w:p>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Cassazione n. 22674/2014</w:t>
            </w:r>
          </w:p>
        </w:tc>
      </w:tr>
      <w:tr w:rsidR="00AB42BA" w:rsidRPr="00077FE1" w:rsidTr="006D664E">
        <w:tc>
          <w:tcPr>
            <w:tcW w:w="1985" w:type="dxa"/>
            <w:vMerge/>
            <w:shd w:val="clear" w:color="auto" w:fill="auto"/>
          </w:tcPr>
          <w:p w:rsidR="00AB42BA" w:rsidRPr="00077FE1" w:rsidRDefault="00AB42BA" w:rsidP="006D664E">
            <w:pPr>
              <w:spacing w:line="280" w:lineRule="exact"/>
              <w:rPr>
                <w:rFonts w:ascii="PT Sans" w:hAnsi="PT Sans"/>
                <w:sz w:val="20"/>
                <w:szCs w:val="20"/>
              </w:rPr>
            </w:pPr>
          </w:p>
        </w:tc>
        <w:tc>
          <w:tcPr>
            <w:tcW w:w="4678" w:type="dxa"/>
            <w:shd w:val="clear" w:color="auto" w:fill="auto"/>
          </w:tcPr>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Tirocinante: normalmente non rileva ma bisogna valutarne in concreto l’apporto</w:t>
            </w:r>
          </w:p>
        </w:tc>
        <w:tc>
          <w:tcPr>
            <w:tcW w:w="2976" w:type="dxa"/>
            <w:shd w:val="clear" w:color="auto" w:fill="auto"/>
          </w:tcPr>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Cassazione n. 1723/2018</w:t>
            </w:r>
          </w:p>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Cassazione n. 21563/2010</w:t>
            </w:r>
          </w:p>
        </w:tc>
      </w:tr>
      <w:tr w:rsidR="00AB42BA" w:rsidRPr="00077FE1" w:rsidTr="006D664E">
        <w:tc>
          <w:tcPr>
            <w:tcW w:w="1985" w:type="dxa"/>
            <w:vMerge/>
            <w:shd w:val="clear" w:color="auto" w:fill="auto"/>
          </w:tcPr>
          <w:p w:rsidR="00AB42BA" w:rsidRPr="00077FE1" w:rsidRDefault="00AB42BA" w:rsidP="006D664E">
            <w:pPr>
              <w:spacing w:line="280" w:lineRule="exact"/>
              <w:rPr>
                <w:rFonts w:ascii="PT Sans" w:hAnsi="PT Sans"/>
                <w:sz w:val="20"/>
                <w:szCs w:val="20"/>
              </w:rPr>
            </w:pPr>
          </w:p>
        </w:tc>
        <w:tc>
          <w:tcPr>
            <w:tcW w:w="4678" w:type="dxa"/>
            <w:shd w:val="clear" w:color="auto" w:fill="auto"/>
          </w:tcPr>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Apprendista o, in genere, soggetto avviato alla pratica: non rileva</w:t>
            </w:r>
          </w:p>
        </w:tc>
        <w:tc>
          <w:tcPr>
            <w:tcW w:w="2976" w:type="dxa"/>
            <w:shd w:val="clear" w:color="auto" w:fill="auto"/>
          </w:tcPr>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Cassazione n. 8834/2009</w:t>
            </w:r>
          </w:p>
        </w:tc>
      </w:tr>
      <w:tr w:rsidR="00AB42BA" w:rsidRPr="00077FE1" w:rsidTr="006D664E">
        <w:tc>
          <w:tcPr>
            <w:tcW w:w="1985" w:type="dxa"/>
            <w:vMerge/>
            <w:shd w:val="clear" w:color="auto" w:fill="auto"/>
          </w:tcPr>
          <w:p w:rsidR="00AB42BA" w:rsidRPr="00077FE1" w:rsidRDefault="00AB42BA" w:rsidP="006D664E">
            <w:pPr>
              <w:spacing w:line="280" w:lineRule="exact"/>
              <w:rPr>
                <w:rFonts w:ascii="PT Sans" w:hAnsi="PT Sans"/>
                <w:sz w:val="20"/>
                <w:szCs w:val="20"/>
              </w:rPr>
            </w:pPr>
          </w:p>
        </w:tc>
        <w:tc>
          <w:tcPr>
            <w:tcW w:w="4678" w:type="dxa"/>
            <w:shd w:val="clear" w:color="auto" w:fill="auto"/>
          </w:tcPr>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Lavoro non occasionale, con mansioni di pura segreteria: non rileva</w:t>
            </w:r>
          </w:p>
        </w:tc>
        <w:tc>
          <w:tcPr>
            <w:tcW w:w="2976" w:type="dxa"/>
            <w:shd w:val="clear" w:color="auto" w:fill="auto"/>
          </w:tcPr>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Cassazione n. 20796/2017</w:t>
            </w:r>
          </w:p>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Cassazione SSUU n. 9451/2016</w:t>
            </w:r>
          </w:p>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Cassazione n. 17342/2016</w:t>
            </w:r>
          </w:p>
        </w:tc>
      </w:tr>
      <w:tr w:rsidR="00AB42BA" w:rsidRPr="00077FE1" w:rsidTr="006D664E">
        <w:tc>
          <w:tcPr>
            <w:tcW w:w="1985" w:type="dxa"/>
            <w:vMerge/>
            <w:shd w:val="clear" w:color="auto" w:fill="auto"/>
          </w:tcPr>
          <w:p w:rsidR="00AB42BA" w:rsidRPr="00077FE1" w:rsidRDefault="00AB42BA" w:rsidP="006D664E">
            <w:pPr>
              <w:spacing w:line="280" w:lineRule="exact"/>
              <w:rPr>
                <w:rFonts w:ascii="PT Sans" w:hAnsi="PT Sans"/>
                <w:sz w:val="20"/>
                <w:szCs w:val="20"/>
              </w:rPr>
            </w:pPr>
          </w:p>
        </w:tc>
        <w:tc>
          <w:tcPr>
            <w:tcW w:w="4678" w:type="dxa"/>
            <w:shd w:val="clear" w:color="auto" w:fill="auto"/>
          </w:tcPr>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Presenza di una segretaria e di una colf part time, oltre ad un praticante: non rileva</w:t>
            </w:r>
          </w:p>
        </w:tc>
        <w:tc>
          <w:tcPr>
            <w:tcW w:w="2976" w:type="dxa"/>
            <w:shd w:val="clear" w:color="auto" w:fill="auto"/>
          </w:tcPr>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Cassazione n. 4783/2018</w:t>
            </w:r>
          </w:p>
        </w:tc>
      </w:tr>
      <w:tr w:rsidR="00AB42BA" w:rsidRPr="00077FE1" w:rsidTr="006D664E">
        <w:tc>
          <w:tcPr>
            <w:tcW w:w="1985" w:type="dxa"/>
            <w:vMerge/>
            <w:shd w:val="clear" w:color="auto" w:fill="auto"/>
          </w:tcPr>
          <w:p w:rsidR="00AB42BA" w:rsidRPr="00077FE1" w:rsidRDefault="00AB42BA" w:rsidP="006D664E">
            <w:pPr>
              <w:spacing w:line="280" w:lineRule="exact"/>
              <w:rPr>
                <w:rFonts w:ascii="PT Sans" w:hAnsi="PT Sans"/>
                <w:sz w:val="20"/>
                <w:szCs w:val="20"/>
              </w:rPr>
            </w:pPr>
          </w:p>
        </w:tc>
        <w:tc>
          <w:tcPr>
            <w:tcW w:w="4678" w:type="dxa"/>
            <w:shd w:val="clear" w:color="auto" w:fill="auto"/>
          </w:tcPr>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Presenza di un dipendente che ne sostituisce un altro in maternità: non rileva</w:t>
            </w:r>
          </w:p>
        </w:tc>
        <w:tc>
          <w:tcPr>
            <w:tcW w:w="2976" w:type="dxa"/>
            <w:shd w:val="clear" w:color="auto" w:fill="auto"/>
          </w:tcPr>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Cassazione n. 27378/2017</w:t>
            </w:r>
          </w:p>
        </w:tc>
      </w:tr>
      <w:tr w:rsidR="00AB42BA" w:rsidRPr="00077FE1" w:rsidTr="006D664E">
        <w:tc>
          <w:tcPr>
            <w:tcW w:w="1985" w:type="dxa"/>
            <w:vMerge/>
            <w:shd w:val="clear" w:color="auto" w:fill="auto"/>
          </w:tcPr>
          <w:p w:rsidR="00AB42BA" w:rsidRPr="00077FE1" w:rsidRDefault="00AB42BA" w:rsidP="006D664E">
            <w:pPr>
              <w:spacing w:line="280" w:lineRule="exact"/>
              <w:rPr>
                <w:rFonts w:ascii="PT Sans" w:hAnsi="PT Sans"/>
                <w:sz w:val="20"/>
                <w:szCs w:val="20"/>
              </w:rPr>
            </w:pPr>
          </w:p>
        </w:tc>
        <w:tc>
          <w:tcPr>
            <w:tcW w:w="4678" w:type="dxa"/>
            <w:shd w:val="clear" w:color="auto" w:fill="auto"/>
          </w:tcPr>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Medico con dipendente che accoglie pazienti, registra dati e consegna referti: non rileva</w:t>
            </w:r>
          </w:p>
        </w:tc>
        <w:tc>
          <w:tcPr>
            <w:tcW w:w="2976" w:type="dxa"/>
            <w:shd w:val="clear" w:color="auto" w:fill="auto"/>
          </w:tcPr>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Cassazione n. 17506/2016</w:t>
            </w:r>
          </w:p>
        </w:tc>
      </w:tr>
      <w:tr w:rsidR="00AB42BA" w:rsidRPr="00077FE1" w:rsidTr="006D664E">
        <w:tc>
          <w:tcPr>
            <w:tcW w:w="1985" w:type="dxa"/>
            <w:vMerge/>
            <w:shd w:val="clear" w:color="auto" w:fill="auto"/>
          </w:tcPr>
          <w:p w:rsidR="00AB42BA" w:rsidRPr="00077FE1" w:rsidRDefault="00AB42BA" w:rsidP="006D664E">
            <w:pPr>
              <w:spacing w:line="280" w:lineRule="exact"/>
              <w:rPr>
                <w:rFonts w:ascii="PT Sans" w:hAnsi="PT Sans"/>
                <w:sz w:val="20"/>
                <w:szCs w:val="20"/>
              </w:rPr>
            </w:pPr>
          </w:p>
        </w:tc>
        <w:tc>
          <w:tcPr>
            <w:tcW w:w="4678" w:type="dxa"/>
            <w:shd w:val="clear" w:color="auto" w:fill="auto"/>
          </w:tcPr>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Medico con segretaria part time: non rileva</w:t>
            </w:r>
          </w:p>
        </w:tc>
        <w:tc>
          <w:tcPr>
            <w:tcW w:w="2976" w:type="dxa"/>
            <w:shd w:val="clear" w:color="auto" w:fill="auto"/>
          </w:tcPr>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Cassazione n. 17508/2016</w:t>
            </w:r>
          </w:p>
        </w:tc>
      </w:tr>
      <w:tr w:rsidR="00AB42BA" w:rsidRPr="00077FE1" w:rsidTr="006D664E">
        <w:tc>
          <w:tcPr>
            <w:tcW w:w="1985" w:type="dxa"/>
            <w:vMerge/>
            <w:shd w:val="clear" w:color="auto" w:fill="auto"/>
          </w:tcPr>
          <w:p w:rsidR="00AB42BA" w:rsidRPr="00077FE1" w:rsidRDefault="00AB42BA" w:rsidP="006D664E">
            <w:pPr>
              <w:spacing w:line="280" w:lineRule="exact"/>
              <w:rPr>
                <w:rFonts w:ascii="PT Sans" w:hAnsi="PT Sans"/>
                <w:sz w:val="20"/>
                <w:szCs w:val="20"/>
              </w:rPr>
            </w:pPr>
          </w:p>
        </w:tc>
        <w:tc>
          <w:tcPr>
            <w:tcW w:w="4678" w:type="dxa"/>
            <w:shd w:val="clear" w:color="auto" w:fill="auto"/>
          </w:tcPr>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Medico che eroga compensi a terzi per sostituzioni: non rileva</w:t>
            </w:r>
          </w:p>
        </w:tc>
        <w:tc>
          <w:tcPr>
            <w:tcW w:w="2976" w:type="dxa"/>
            <w:shd w:val="clear" w:color="auto" w:fill="auto"/>
          </w:tcPr>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Cassazione n. 21330/2016</w:t>
            </w:r>
          </w:p>
        </w:tc>
      </w:tr>
      <w:tr w:rsidR="00AB42BA" w:rsidRPr="00077FE1" w:rsidTr="006D664E">
        <w:tc>
          <w:tcPr>
            <w:tcW w:w="1985" w:type="dxa"/>
            <w:shd w:val="clear" w:color="auto" w:fill="auto"/>
          </w:tcPr>
          <w:p w:rsidR="00AB42BA" w:rsidRPr="00077FE1" w:rsidRDefault="00AB42BA" w:rsidP="006D664E">
            <w:pPr>
              <w:spacing w:line="280" w:lineRule="exact"/>
              <w:rPr>
                <w:rFonts w:ascii="PT Sans" w:hAnsi="PT Sans"/>
                <w:sz w:val="20"/>
                <w:szCs w:val="20"/>
              </w:rPr>
            </w:pPr>
            <w:r w:rsidRPr="00077FE1">
              <w:rPr>
                <w:rFonts w:ascii="PT Sans" w:hAnsi="PT Sans"/>
                <w:sz w:val="20"/>
                <w:szCs w:val="20"/>
              </w:rPr>
              <w:t>Tipo di forma giuridica</w:t>
            </w:r>
          </w:p>
        </w:tc>
        <w:tc>
          <w:tcPr>
            <w:tcW w:w="4678" w:type="dxa"/>
            <w:shd w:val="clear" w:color="auto" w:fill="auto"/>
          </w:tcPr>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Studio associato sotto forma di associazione professionale deve sempre pagare il tributo, salvo non dimostri che non esiste collaborazione attiva tra i partecipanti</w:t>
            </w:r>
          </w:p>
        </w:tc>
        <w:tc>
          <w:tcPr>
            <w:tcW w:w="2976" w:type="dxa"/>
            <w:shd w:val="clear" w:color="auto" w:fill="auto"/>
          </w:tcPr>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Cassazione n. 27042/2017</w:t>
            </w:r>
          </w:p>
          <w:p w:rsidR="00AB42BA" w:rsidRPr="00077FE1" w:rsidRDefault="00AB42BA" w:rsidP="006D664E">
            <w:pPr>
              <w:spacing w:line="300" w:lineRule="exact"/>
              <w:jc w:val="both"/>
              <w:rPr>
                <w:rFonts w:ascii="PT Sans" w:hAnsi="PT Sans"/>
                <w:sz w:val="20"/>
                <w:szCs w:val="20"/>
              </w:rPr>
            </w:pPr>
            <w:r w:rsidRPr="00077FE1">
              <w:rPr>
                <w:rFonts w:ascii="PT Sans" w:hAnsi="PT Sans"/>
                <w:sz w:val="20"/>
                <w:szCs w:val="20"/>
              </w:rPr>
              <w:t>Cassazione n. 7291/2016</w:t>
            </w:r>
          </w:p>
        </w:tc>
      </w:tr>
    </w:tbl>
    <w:p w:rsidR="00AB42BA" w:rsidRPr="00382FDC" w:rsidRDefault="00AB42BA" w:rsidP="00AB42BA">
      <w:pPr>
        <w:spacing w:line="320" w:lineRule="exact"/>
        <w:jc w:val="both"/>
        <w:rPr>
          <w:rFonts w:ascii="PT Sans" w:hAnsi="PT Sans"/>
        </w:rPr>
      </w:pPr>
    </w:p>
    <w:p w:rsidR="00AB42BA" w:rsidRPr="00382FDC" w:rsidRDefault="00AB42BA" w:rsidP="00AB42BA">
      <w:pPr>
        <w:spacing w:line="320" w:lineRule="exact"/>
        <w:rPr>
          <w:rFonts w:ascii="PT Sans" w:hAnsi="PT Sans"/>
          <w:b/>
          <w:color w:val="006EB7"/>
        </w:rPr>
      </w:pPr>
      <w:r w:rsidRPr="00382FDC">
        <w:rPr>
          <w:rFonts w:ascii="PT Sans" w:hAnsi="PT Sans"/>
          <w:b/>
          <w:color w:val="006EB7"/>
        </w:rPr>
        <w:t>Questionario per valutazione di massima</w:t>
      </w:r>
    </w:p>
    <w:p w:rsidR="00AB42BA" w:rsidRPr="00382FDC" w:rsidRDefault="00AB42BA" w:rsidP="00AB42BA">
      <w:pPr>
        <w:spacing w:line="320" w:lineRule="exact"/>
        <w:jc w:val="both"/>
        <w:rPr>
          <w:rFonts w:ascii="PT Sans" w:hAnsi="PT Sans"/>
        </w:rPr>
      </w:pPr>
      <w:r w:rsidRPr="00382FDC">
        <w:rPr>
          <w:rFonts w:ascii="PT Sans" w:hAnsi="PT Sans"/>
        </w:rPr>
        <w:t>Dopo avere esperito l’analisi della posizione del contribuente, risulta possibile assumere la decisione più adatta in merito al comportamento da tenere nella compilazione del modello dichiarativo.</w:t>
      </w:r>
    </w:p>
    <w:p w:rsidR="00AB42BA" w:rsidRPr="00382FDC" w:rsidRDefault="00AB42BA" w:rsidP="00AB42BA">
      <w:pPr>
        <w:spacing w:line="320" w:lineRule="exact"/>
        <w:jc w:val="both"/>
        <w:rPr>
          <w:rFonts w:ascii="PT Sans" w:hAnsi="PT Sans"/>
        </w:rPr>
      </w:pPr>
      <w:r w:rsidRPr="00382FDC">
        <w:rPr>
          <w:rFonts w:ascii="PT Sans" w:hAnsi="PT Sans"/>
        </w:rPr>
        <w:t>Si può utilizzare il seguente schema:</w:t>
      </w:r>
    </w:p>
    <w:p w:rsidR="00AB42BA" w:rsidRPr="00382FDC" w:rsidRDefault="00AB42BA" w:rsidP="00AB42BA">
      <w:pPr>
        <w:spacing w:line="320" w:lineRule="exact"/>
        <w:jc w:val="both"/>
        <w:rPr>
          <w:rFonts w:ascii="PT Sans" w:hAnsi="PT Sans"/>
        </w:rPr>
      </w:pPr>
    </w:p>
    <w:tbl>
      <w:tblPr>
        <w:tblW w:w="0" w:type="auto"/>
        <w:tblInd w:w="108" w:type="dxa"/>
        <w:tblBorders>
          <w:top w:val="single" w:sz="4" w:space="0" w:color="006EB7"/>
          <w:left w:val="single" w:sz="4" w:space="0" w:color="006EB7"/>
          <w:bottom w:val="single" w:sz="4" w:space="0" w:color="006EB7"/>
          <w:right w:val="single" w:sz="4" w:space="0" w:color="006EB7"/>
          <w:insideH w:val="single" w:sz="4" w:space="0" w:color="006EB7"/>
          <w:insideV w:val="single" w:sz="4" w:space="0" w:color="006EB7"/>
        </w:tblBorders>
        <w:tblLook w:val="04A0" w:firstRow="1" w:lastRow="0" w:firstColumn="1" w:lastColumn="0" w:noHBand="0" w:noVBand="1"/>
      </w:tblPr>
      <w:tblGrid>
        <w:gridCol w:w="325"/>
        <w:gridCol w:w="3964"/>
        <w:gridCol w:w="4115"/>
        <w:gridCol w:w="1283"/>
      </w:tblGrid>
      <w:tr w:rsidR="00AB42BA" w:rsidRPr="00077FE1" w:rsidTr="006D664E">
        <w:tc>
          <w:tcPr>
            <w:tcW w:w="325" w:type="dxa"/>
            <w:shd w:val="clear" w:color="auto" w:fill="auto"/>
          </w:tcPr>
          <w:p w:rsidR="00AB42BA" w:rsidRPr="00077FE1" w:rsidRDefault="00AB42BA" w:rsidP="006D664E">
            <w:pPr>
              <w:spacing w:line="320" w:lineRule="exact"/>
              <w:jc w:val="center"/>
              <w:rPr>
                <w:rFonts w:ascii="PT Sans" w:hAnsi="PT Sans"/>
                <w:b/>
                <w:sz w:val="20"/>
                <w:szCs w:val="20"/>
              </w:rPr>
            </w:pPr>
          </w:p>
        </w:tc>
        <w:tc>
          <w:tcPr>
            <w:tcW w:w="3964" w:type="dxa"/>
            <w:shd w:val="clear" w:color="auto" w:fill="B2D3E9"/>
          </w:tcPr>
          <w:p w:rsidR="00AB42BA" w:rsidRPr="00077FE1" w:rsidRDefault="00AB42BA" w:rsidP="006D664E">
            <w:pPr>
              <w:spacing w:line="320" w:lineRule="exact"/>
              <w:jc w:val="center"/>
              <w:rPr>
                <w:rFonts w:ascii="PT Sans" w:hAnsi="PT Sans"/>
                <w:b/>
                <w:sz w:val="20"/>
                <w:szCs w:val="20"/>
              </w:rPr>
            </w:pPr>
            <w:r w:rsidRPr="00077FE1">
              <w:rPr>
                <w:rFonts w:ascii="PT Sans" w:hAnsi="PT Sans"/>
                <w:b/>
                <w:sz w:val="20"/>
                <w:szCs w:val="20"/>
              </w:rPr>
              <w:t>Situazione</w:t>
            </w:r>
          </w:p>
        </w:tc>
        <w:tc>
          <w:tcPr>
            <w:tcW w:w="4115" w:type="dxa"/>
            <w:shd w:val="clear" w:color="auto" w:fill="B2D3E9"/>
          </w:tcPr>
          <w:p w:rsidR="00AB42BA" w:rsidRPr="00077FE1" w:rsidRDefault="00AB42BA" w:rsidP="006D664E">
            <w:pPr>
              <w:spacing w:line="320" w:lineRule="exact"/>
              <w:jc w:val="center"/>
              <w:rPr>
                <w:rFonts w:ascii="PT Sans" w:hAnsi="PT Sans"/>
                <w:b/>
                <w:sz w:val="20"/>
                <w:szCs w:val="20"/>
              </w:rPr>
            </w:pPr>
            <w:r w:rsidRPr="00077FE1">
              <w:rPr>
                <w:rFonts w:ascii="PT Sans" w:hAnsi="PT Sans"/>
                <w:b/>
                <w:sz w:val="20"/>
                <w:szCs w:val="20"/>
              </w:rPr>
              <w:t>Comportamento</w:t>
            </w:r>
          </w:p>
        </w:tc>
        <w:tc>
          <w:tcPr>
            <w:tcW w:w="1283" w:type="dxa"/>
            <w:shd w:val="clear" w:color="auto" w:fill="B2D3E9"/>
          </w:tcPr>
          <w:p w:rsidR="00AB42BA" w:rsidRPr="00077FE1" w:rsidRDefault="00AB42BA" w:rsidP="006D664E">
            <w:pPr>
              <w:spacing w:line="320" w:lineRule="exact"/>
              <w:jc w:val="center"/>
              <w:rPr>
                <w:rFonts w:ascii="PT Sans" w:hAnsi="PT Sans"/>
                <w:b/>
                <w:i/>
                <w:sz w:val="20"/>
                <w:szCs w:val="20"/>
              </w:rPr>
            </w:pPr>
            <w:r w:rsidRPr="00077FE1">
              <w:rPr>
                <w:rFonts w:ascii="PT Sans" w:hAnsi="PT Sans"/>
                <w:b/>
                <w:i/>
                <w:sz w:val="20"/>
                <w:szCs w:val="20"/>
              </w:rPr>
              <w:t>Check</w:t>
            </w:r>
          </w:p>
        </w:tc>
      </w:tr>
      <w:tr w:rsidR="00AB42BA" w:rsidRPr="00077FE1" w:rsidTr="006D664E">
        <w:tc>
          <w:tcPr>
            <w:tcW w:w="325" w:type="dxa"/>
            <w:shd w:val="clear" w:color="auto" w:fill="auto"/>
          </w:tcPr>
          <w:p w:rsidR="00AB42BA" w:rsidRPr="00077FE1" w:rsidRDefault="00AB42BA" w:rsidP="006D664E">
            <w:pPr>
              <w:spacing w:line="320" w:lineRule="exact"/>
              <w:jc w:val="both"/>
              <w:rPr>
                <w:rFonts w:ascii="PT Sans" w:hAnsi="PT Sans"/>
                <w:sz w:val="20"/>
                <w:szCs w:val="20"/>
              </w:rPr>
            </w:pPr>
            <w:r w:rsidRPr="00077FE1">
              <w:rPr>
                <w:rFonts w:ascii="PT Sans" w:hAnsi="PT Sans"/>
                <w:sz w:val="20"/>
                <w:szCs w:val="20"/>
              </w:rPr>
              <w:t>1</w:t>
            </w:r>
          </w:p>
        </w:tc>
        <w:tc>
          <w:tcPr>
            <w:tcW w:w="3964" w:type="dxa"/>
            <w:shd w:val="clear" w:color="auto" w:fill="auto"/>
          </w:tcPr>
          <w:p w:rsidR="00AB42BA" w:rsidRPr="00077FE1" w:rsidRDefault="00AB42BA" w:rsidP="006D664E">
            <w:pPr>
              <w:spacing w:line="320" w:lineRule="exact"/>
              <w:jc w:val="both"/>
              <w:rPr>
                <w:rFonts w:ascii="PT Sans" w:hAnsi="PT Sans"/>
                <w:sz w:val="20"/>
                <w:szCs w:val="20"/>
              </w:rPr>
            </w:pPr>
            <w:r w:rsidRPr="00077FE1">
              <w:rPr>
                <w:rFonts w:ascii="PT Sans" w:hAnsi="PT Sans"/>
                <w:sz w:val="20"/>
                <w:szCs w:val="20"/>
              </w:rPr>
              <w:t>Almeno uno dei caratteri è presente in modo inequivoco sulla posizione del contribuente</w:t>
            </w:r>
          </w:p>
        </w:tc>
        <w:tc>
          <w:tcPr>
            <w:tcW w:w="4115" w:type="dxa"/>
            <w:shd w:val="clear" w:color="auto" w:fill="auto"/>
          </w:tcPr>
          <w:p w:rsidR="00AB42BA" w:rsidRPr="00077FE1" w:rsidRDefault="00AB42BA" w:rsidP="006D664E">
            <w:pPr>
              <w:spacing w:line="320" w:lineRule="exact"/>
              <w:jc w:val="both"/>
              <w:rPr>
                <w:rFonts w:ascii="PT Sans" w:hAnsi="PT Sans"/>
                <w:sz w:val="20"/>
                <w:szCs w:val="20"/>
              </w:rPr>
            </w:pPr>
            <w:r w:rsidRPr="00077FE1">
              <w:rPr>
                <w:rFonts w:ascii="PT Sans" w:hAnsi="PT Sans"/>
                <w:sz w:val="20"/>
                <w:szCs w:val="20"/>
              </w:rPr>
              <w:t>Si deve compilare la dichiarazione:</w:t>
            </w:r>
          </w:p>
          <w:p w:rsidR="00AB42BA" w:rsidRPr="00077FE1" w:rsidRDefault="00AB42BA" w:rsidP="006D664E">
            <w:pPr>
              <w:spacing w:line="320" w:lineRule="exact"/>
              <w:jc w:val="both"/>
              <w:rPr>
                <w:rFonts w:ascii="PT Sans" w:hAnsi="PT Sans"/>
                <w:sz w:val="20"/>
                <w:szCs w:val="20"/>
              </w:rPr>
            </w:pPr>
            <w:r w:rsidRPr="00077FE1">
              <w:rPr>
                <w:rFonts w:ascii="MS Gothic" w:eastAsia="MS Gothic" w:hAnsi="MS Gothic" w:cs="MS Gothic" w:hint="eastAsia"/>
                <w:sz w:val="20"/>
                <w:szCs w:val="20"/>
              </w:rPr>
              <w:t>▢</w:t>
            </w:r>
            <w:r w:rsidRPr="00077FE1">
              <w:rPr>
                <w:rFonts w:ascii="PT Sans" w:hAnsi="PT Sans"/>
                <w:sz w:val="20"/>
                <w:szCs w:val="20"/>
              </w:rPr>
              <w:t xml:space="preserve"> esiste giurisprudenza di conforto</w:t>
            </w:r>
          </w:p>
          <w:p w:rsidR="00AB42BA" w:rsidRPr="00077FE1" w:rsidRDefault="00AB42BA" w:rsidP="006D664E">
            <w:pPr>
              <w:spacing w:line="320" w:lineRule="exact"/>
              <w:jc w:val="both"/>
              <w:rPr>
                <w:rFonts w:ascii="PT Sans" w:hAnsi="PT Sans"/>
                <w:sz w:val="20"/>
                <w:szCs w:val="20"/>
              </w:rPr>
            </w:pPr>
            <w:r w:rsidRPr="00077FE1">
              <w:rPr>
                <w:rFonts w:ascii="MS Gothic" w:eastAsia="MS Gothic" w:hAnsi="MS Gothic" w:cs="MS Gothic" w:hint="eastAsia"/>
                <w:sz w:val="20"/>
                <w:szCs w:val="20"/>
              </w:rPr>
              <w:t>▢</w:t>
            </w:r>
            <w:r w:rsidRPr="00077FE1">
              <w:rPr>
                <w:rFonts w:ascii="PT Sans" w:hAnsi="PT Sans"/>
                <w:sz w:val="20"/>
                <w:szCs w:val="20"/>
              </w:rPr>
              <w:t xml:space="preserve"> non esiste giurisprudenza di conforto</w:t>
            </w:r>
          </w:p>
        </w:tc>
        <w:tc>
          <w:tcPr>
            <w:tcW w:w="1283" w:type="dxa"/>
            <w:shd w:val="clear" w:color="auto" w:fill="auto"/>
          </w:tcPr>
          <w:p w:rsidR="00AB42BA" w:rsidRPr="00077FE1" w:rsidRDefault="00AB42BA" w:rsidP="006D664E">
            <w:pPr>
              <w:spacing w:line="320" w:lineRule="exact"/>
              <w:jc w:val="both"/>
              <w:rPr>
                <w:rFonts w:ascii="PT Sans" w:hAnsi="PT Sans"/>
                <w:sz w:val="20"/>
                <w:szCs w:val="20"/>
              </w:rPr>
            </w:pPr>
          </w:p>
        </w:tc>
      </w:tr>
      <w:tr w:rsidR="00AB42BA" w:rsidRPr="00077FE1" w:rsidTr="006D664E">
        <w:tc>
          <w:tcPr>
            <w:tcW w:w="325" w:type="dxa"/>
            <w:shd w:val="clear" w:color="auto" w:fill="auto"/>
          </w:tcPr>
          <w:p w:rsidR="00AB42BA" w:rsidRPr="00077FE1" w:rsidRDefault="00AB42BA" w:rsidP="006D664E">
            <w:pPr>
              <w:spacing w:line="320" w:lineRule="exact"/>
              <w:jc w:val="both"/>
              <w:rPr>
                <w:rFonts w:ascii="PT Sans" w:hAnsi="PT Sans"/>
                <w:sz w:val="20"/>
                <w:szCs w:val="20"/>
              </w:rPr>
            </w:pPr>
            <w:r w:rsidRPr="00077FE1">
              <w:rPr>
                <w:rFonts w:ascii="PT Sans" w:hAnsi="PT Sans"/>
                <w:sz w:val="20"/>
                <w:szCs w:val="20"/>
              </w:rPr>
              <w:t>2</w:t>
            </w:r>
          </w:p>
        </w:tc>
        <w:tc>
          <w:tcPr>
            <w:tcW w:w="3964" w:type="dxa"/>
            <w:shd w:val="clear" w:color="auto" w:fill="auto"/>
          </w:tcPr>
          <w:p w:rsidR="00AB42BA" w:rsidRPr="00077FE1" w:rsidRDefault="00AB42BA" w:rsidP="006D664E">
            <w:pPr>
              <w:spacing w:line="320" w:lineRule="exact"/>
              <w:jc w:val="both"/>
              <w:rPr>
                <w:rFonts w:ascii="PT Sans" w:hAnsi="PT Sans"/>
                <w:sz w:val="20"/>
                <w:szCs w:val="20"/>
              </w:rPr>
            </w:pPr>
            <w:r w:rsidRPr="00077FE1">
              <w:rPr>
                <w:rFonts w:ascii="PT Sans" w:hAnsi="PT Sans"/>
                <w:sz w:val="20"/>
                <w:szCs w:val="20"/>
              </w:rPr>
              <w:t>Nessun carattere è presente sulla posizione del contribuente</w:t>
            </w:r>
          </w:p>
        </w:tc>
        <w:tc>
          <w:tcPr>
            <w:tcW w:w="4115" w:type="dxa"/>
            <w:shd w:val="clear" w:color="auto" w:fill="auto"/>
          </w:tcPr>
          <w:p w:rsidR="00AB42BA" w:rsidRPr="00077FE1" w:rsidRDefault="00AB42BA" w:rsidP="006D664E">
            <w:pPr>
              <w:spacing w:line="320" w:lineRule="exact"/>
              <w:jc w:val="both"/>
              <w:rPr>
                <w:rFonts w:ascii="PT Sans" w:hAnsi="PT Sans"/>
                <w:sz w:val="20"/>
                <w:szCs w:val="20"/>
              </w:rPr>
            </w:pPr>
            <w:r w:rsidRPr="00077FE1">
              <w:rPr>
                <w:rFonts w:ascii="PT Sans" w:hAnsi="PT Sans"/>
                <w:sz w:val="20"/>
                <w:szCs w:val="20"/>
              </w:rPr>
              <w:t>Non si deve compilare la dichiarazione né versare il tributo:</w:t>
            </w:r>
          </w:p>
          <w:p w:rsidR="00AB42BA" w:rsidRPr="00077FE1" w:rsidRDefault="00AB42BA" w:rsidP="006D664E">
            <w:pPr>
              <w:spacing w:line="320" w:lineRule="exact"/>
              <w:jc w:val="both"/>
              <w:rPr>
                <w:rFonts w:ascii="PT Sans" w:hAnsi="PT Sans"/>
                <w:sz w:val="20"/>
                <w:szCs w:val="20"/>
              </w:rPr>
            </w:pPr>
            <w:r w:rsidRPr="00077FE1">
              <w:rPr>
                <w:rFonts w:ascii="MS Gothic" w:eastAsia="MS Gothic" w:hAnsi="MS Gothic" w:cs="MS Gothic" w:hint="eastAsia"/>
                <w:sz w:val="20"/>
                <w:szCs w:val="20"/>
              </w:rPr>
              <w:t>▢</w:t>
            </w:r>
            <w:r w:rsidRPr="00077FE1">
              <w:rPr>
                <w:rFonts w:ascii="PT Sans" w:hAnsi="PT Sans"/>
                <w:sz w:val="20"/>
                <w:szCs w:val="20"/>
              </w:rPr>
              <w:t xml:space="preserve"> esiste giurisprudenza di conforto</w:t>
            </w:r>
          </w:p>
          <w:p w:rsidR="00AB42BA" w:rsidRPr="00077FE1" w:rsidRDefault="00AB42BA" w:rsidP="006D664E">
            <w:pPr>
              <w:spacing w:line="320" w:lineRule="exact"/>
              <w:jc w:val="both"/>
              <w:rPr>
                <w:rFonts w:ascii="PT Sans" w:hAnsi="PT Sans"/>
                <w:sz w:val="20"/>
                <w:szCs w:val="20"/>
              </w:rPr>
            </w:pPr>
            <w:r w:rsidRPr="00077FE1">
              <w:rPr>
                <w:rFonts w:ascii="MS Gothic" w:eastAsia="MS Gothic" w:hAnsi="MS Gothic" w:cs="MS Gothic" w:hint="eastAsia"/>
                <w:sz w:val="20"/>
                <w:szCs w:val="20"/>
              </w:rPr>
              <w:t>▢</w:t>
            </w:r>
            <w:r w:rsidRPr="00077FE1">
              <w:rPr>
                <w:rFonts w:ascii="PT Sans" w:hAnsi="PT Sans"/>
                <w:sz w:val="20"/>
                <w:szCs w:val="20"/>
              </w:rPr>
              <w:t xml:space="preserve"> non esiste giurisprudenza di conforto</w:t>
            </w:r>
          </w:p>
        </w:tc>
        <w:tc>
          <w:tcPr>
            <w:tcW w:w="1283" w:type="dxa"/>
            <w:shd w:val="clear" w:color="auto" w:fill="auto"/>
          </w:tcPr>
          <w:p w:rsidR="00AB42BA" w:rsidRPr="00077FE1" w:rsidRDefault="00AB42BA" w:rsidP="006D664E">
            <w:pPr>
              <w:spacing w:line="320" w:lineRule="exact"/>
              <w:jc w:val="both"/>
              <w:rPr>
                <w:rFonts w:ascii="PT Sans" w:hAnsi="PT Sans"/>
                <w:sz w:val="20"/>
                <w:szCs w:val="20"/>
              </w:rPr>
            </w:pPr>
          </w:p>
        </w:tc>
      </w:tr>
      <w:tr w:rsidR="00AB42BA" w:rsidRPr="00077FE1" w:rsidTr="006D664E">
        <w:tc>
          <w:tcPr>
            <w:tcW w:w="325" w:type="dxa"/>
            <w:shd w:val="clear" w:color="auto" w:fill="auto"/>
          </w:tcPr>
          <w:p w:rsidR="00AB42BA" w:rsidRPr="00077FE1" w:rsidRDefault="00AB42BA" w:rsidP="006D664E">
            <w:pPr>
              <w:spacing w:line="320" w:lineRule="exact"/>
              <w:jc w:val="both"/>
              <w:rPr>
                <w:rFonts w:ascii="PT Sans" w:hAnsi="PT Sans"/>
                <w:sz w:val="20"/>
                <w:szCs w:val="20"/>
              </w:rPr>
            </w:pPr>
            <w:r w:rsidRPr="00077FE1">
              <w:rPr>
                <w:rFonts w:ascii="PT Sans" w:hAnsi="PT Sans"/>
                <w:sz w:val="20"/>
                <w:szCs w:val="20"/>
              </w:rPr>
              <w:t>3</w:t>
            </w:r>
          </w:p>
        </w:tc>
        <w:tc>
          <w:tcPr>
            <w:tcW w:w="3964" w:type="dxa"/>
            <w:shd w:val="clear" w:color="auto" w:fill="auto"/>
          </w:tcPr>
          <w:p w:rsidR="00AB42BA" w:rsidRPr="00077FE1" w:rsidRDefault="00AB42BA" w:rsidP="006D664E">
            <w:pPr>
              <w:spacing w:line="320" w:lineRule="exact"/>
              <w:jc w:val="both"/>
              <w:rPr>
                <w:rFonts w:ascii="PT Sans" w:hAnsi="PT Sans"/>
                <w:sz w:val="20"/>
                <w:szCs w:val="20"/>
              </w:rPr>
            </w:pPr>
            <w:r w:rsidRPr="00077FE1">
              <w:rPr>
                <w:rFonts w:ascii="PT Sans" w:hAnsi="PT Sans"/>
                <w:sz w:val="20"/>
                <w:szCs w:val="20"/>
              </w:rPr>
              <w:t>Esistono dubbi in merito alla presenza di almeno un carattere sulla posizione del contribuente</w:t>
            </w:r>
          </w:p>
        </w:tc>
        <w:tc>
          <w:tcPr>
            <w:tcW w:w="4115" w:type="dxa"/>
            <w:shd w:val="clear" w:color="auto" w:fill="auto"/>
          </w:tcPr>
          <w:p w:rsidR="00AB42BA" w:rsidRPr="00077FE1" w:rsidRDefault="00AB42BA" w:rsidP="006D664E">
            <w:pPr>
              <w:spacing w:line="320" w:lineRule="exact"/>
              <w:jc w:val="both"/>
              <w:rPr>
                <w:rFonts w:ascii="PT Sans" w:hAnsi="PT Sans"/>
                <w:sz w:val="20"/>
                <w:szCs w:val="20"/>
              </w:rPr>
            </w:pPr>
            <w:r w:rsidRPr="00077FE1">
              <w:rPr>
                <w:rFonts w:ascii="PT Sans" w:hAnsi="PT Sans"/>
                <w:sz w:val="20"/>
                <w:szCs w:val="20"/>
              </w:rPr>
              <w:t>È consigliabile compilare il modello, versare il tributo e provvedere all’istanza di rimborso entro il termine di 48 mesi:</w:t>
            </w:r>
          </w:p>
          <w:p w:rsidR="00AB42BA" w:rsidRPr="00077FE1" w:rsidRDefault="00AB42BA" w:rsidP="006D664E">
            <w:pPr>
              <w:spacing w:line="320" w:lineRule="exact"/>
              <w:jc w:val="both"/>
              <w:rPr>
                <w:rFonts w:ascii="PT Sans" w:hAnsi="PT Sans"/>
                <w:sz w:val="20"/>
                <w:szCs w:val="20"/>
              </w:rPr>
            </w:pPr>
            <w:r w:rsidRPr="00077FE1">
              <w:rPr>
                <w:rFonts w:ascii="MS Gothic" w:eastAsia="MS Gothic" w:hAnsi="MS Gothic" w:cs="MS Gothic" w:hint="eastAsia"/>
                <w:sz w:val="20"/>
                <w:szCs w:val="20"/>
              </w:rPr>
              <w:t>▢</w:t>
            </w:r>
            <w:r w:rsidRPr="00077FE1">
              <w:rPr>
                <w:rFonts w:ascii="PT Sans" w:hAnsi="PT Sans"/>
                <w:sz w:val="20"/>
                <w:szCs w:val="20"/>
              </w:rPr>
              <w:t xml:space="preserve"> non esiste giurisprudenza di conforto</w:t>
            </w:r>
          </w:p>
          <w:p w:rsidR="00AB42BA" w:rsidRPr="00077FE1" w:rsidRDefault="00AB42BA" w:rsidP="006D664E">
            <w:pPr>
              <w:spacing w:line="320" w:lineRule="exact"/>
              <w:jc w:val="both"/>
              <w:rPr>
                <w:rFonts w:ascii="PT Sans" w:hAnsi="PT Sans"/>
                <w:sz w:val="20"/>
                <w:szCs w:val="20"/>
              </w:rPr>
            </w:pPr>
            <w:r w:rsidRPr="00077FE1">
              <w:rPr>
                <w:rFonts w:ascii="MS Gothic" w:eastAsia="MS Gothic" w:hAnsi="MS Gothic" w:cs="MS Gothic" w:hint="eastAsia"/>
                <w:sz w:val="20"/>
                <w:szCs w:val="20"/>
              </w:rPr>
              <w:t>▢</w:t>
            </w:r>
            <w:r w:rsidRPr="00077FE1">
              <w:rPr>
                <w:rFonts w:ascii="PT Sans" w:hAnsi="PT Sans"/>
                <w:sz w:val="20"/>
                <w:szCs w:val="20"/>
              </w:rPr>
              <w:t xml:space="preserve"> esiste giurisprudenza contrastante</w:t>
            </w:r>
          </w:p>
        </w:tc>
        <w:tc>
          <w:tcPr>
            <w:tcW w:w="1283" w:type="dxa"/>
            <w:shd w:val="clear" w:color="auto" w:fill="auto"/>
          </w:tcPr>
          <w:p w:rsidR="00AB42BA" w:rsidRPr="00077FE1" w:rsidRDefault="00AB42BA" w:rsidP="006D664E">
            <w:pPr>
              <w:spacing w:line="320" w:lineRule="exact"/>
              <w:jc w:val="both"/>
              <w:rPr>
                <w:rFonts w:ascii="PT Sans" w:hAnsi="PT Sans"/>
                <w:sz w:val="20"/>
                <w:szCs w:val="20"/>
              </w:rPr>
            </w:pPr>
          </w:p>
        </w:tc>
      </w:tr>
    </w:tbl>
    <w:p w:rsidR="00AB42BA" w:rsidRDefault="00AB42BA" w:rsidP="00AB42BA">
      <w:pPr>
        <w:spacing w:line="320" w:lineRule="exact"/>
        <w:jc w:val="both"/>
        <w:rPr>
          <w:rFonts w:ascii="PT Sans" w:hAnsi="PT Sans"/>
        </w:rPr>
      </w:pPr>
    </w:p>
    <w:p w:rsidR="00AB42BA" w:rsidRPr="00382FDC" w:rsidRDefault="00AB42BA" w:rsidP="00AB42BA">
      <w:pPr>
        <w:spacing w:line="320" w:lineRule="exact"/>
        <w:jc w:val="both"/>
        <w:rPr>
          <w:rFonts w:ascii="PT Sans" w:hAnsi="PT Sans"/>
        </w:rPr>
      </w:pPr>
    </w:p>
    <w:p w:rsidR="00AB42BA" w:rsidRPr="00301148" w:rsidRDefault="00AB42BA" w:rsidP="00AB42BA">
      <w:pPr>
        <w:spacing w:line="280" w:lineRule="exact"/>
        <w:ind w:left="6373"/>
        <w:jc w:val="both"/>
        <w:rPr>
          <w:rStyle w:val="firma"/>
          <w:rFonts w:ascii="PT Sans" w:hAnsi="PT Sans"/>
        </w:rPr>
      </w:pPr>
    </w:p>
    <w:p w:rsidR="00AB42BA" w:rsidRPr="00301148" w:rsidRDefault="00AB42BA" w:rsidP="00AB42BA">
      <w:pPr>
        <w:jc w:val="both"/>
        <w:rPr>
          <w:rFonts w:ascii="PT Sans" w:hAnsi="PT Sans" w:cs="Arial"/>
          <w:sz w:val="10"/>
          <w:szCs w:val="10"/>
          <w:u w:val="single"/>
        </w:rPr>
      </w:pPr>
      <w:r w:rsidRPr="00301148">
        <w:rPr>
          <w:rFonts w:ascii="PT Sans" w:hAnsi="PT Sans"/>
        </w:rPr>
        <w:br w:type="page"/>
      </w:r>
    </w:p>
    <w:p w:rsidR="00AB42BA" w:rsidRDefault="00AB42BA" w:rsidP="00AB42BA">
      <w:pPr>
        <w:pStyle w:val="corpotestoinformativa"/>
        <w:rPr>
          <w:rFonts w:ascii="PT Sans" w:hAnsi="PT Sans"/>
        </w:rPr>
      </w:pPr>
    </w:p>
    <w:p w:rsidR="00AB42BA" w:rsidRPr="00C74842" w:rsidRDefault="00AB42BA" w:rsidP="00AB42BA">
      <w:pPr>
        <w:pStyle w:val="titoloinformativa"/>
        <w:spacing w:line="280" w:lineRule="exact"/>
        <w:rPr>
          <w:rFonts w:ascii="PT Sans" w:hAnsi="PT Sans"/>
        </w:rPr>
      </w:pPr>
      <w:r w:rsidRPr="00C74842">
        <w:rPr>
          <w:rFonts w:ascii="PT Sans" w:hAnsi="PT Sans"/>
        </w:rPr>
        <w:t>PER L’IPERAMMORTAMENTO PERIZIA CONSENTITA ANCHE DOPO L’INVESTIMENTO</w:t>
      </w:r>
    </w:p>
    <w:p w:rsidR="00AB42BA" w:rsidRPr="00012437" w:rsidRDefault="00AB42BA" w:rsidP="00AB42BA">
      <w:pPr>
        <w:spacing w:line="320" w:lineRule="exact"/>
        <w:jc w:val="both"/>
        <w:rPr>
          <w:b/>
          <w:bCs/>
          <w:snapToGrid w:val="0"/>
          <w:szCs w:val="22"/>
        </w:rPr>
      </w:pPr>
    </w:p>
    <w:p w:rsidR="00AB42BA" w:rsidRPr="00C74842" w:rsidRDefault="00AB42BA" w:rsidP="00AB42BA">
      <w:pPr>
        <w:spacing w:line="320" w:lineRule="exact"/>
        <w:jc w:val="both"/>
        <w:rPr>
          <w:rFonts w:ascii="PT Sans" w:hAnsi="PT Sans" w:cs="Arial"/>
          <w:szCs w:val="22"/>
        </w:rPr>
      </w:pPr>
      <w:r w:rsidRPr="00C74842">
        <w:rPr>
          <w:rFonts w:ascii="PT Sans" w:hAnsi="PT Sans" w:cs="Arial"/>
        </w:rPr>
        <w:t xml:space="preserve">Con la risoluzione </w:t>
      </w:r>
      <w:r>
        <w:rPr>
          <w:rFonts w:ascii="PT Sans" w:hAnsi="PT Sans" w:cs="Arial"/>
        </w:rPr>
        <w:t xml:space="preserve">n. </w:t>
      </w:r>
      <w:r w:rsidRPr="00C74842">
        <w:rPr>
          <w:rFonts w:ascii="PT Sans" w:hAnsi="PT Sans" w:cs="Arial"/>
        </w:rPr>
        <w:t xml:space="preserve">27/E del 9 aprile 2018 l’Agenzia interviene sul tema degli investimenti in beni strumentali tecnologici che consentono una maggiorazione del 150% del costo al fine del calcolo dell’ammortamento deducibile (cosiddetto Iper ammortamento): secondo l’Amministrazione </w:t>
      </w:r>
      <w:r>
        <w:rPr>
          <w:rFonts w:ascii="PT Sans" w:hAnsi="PT Sans" w:cs="Arial"/>
        </w:rPr>
        <w:t>f</w:t>
      </w:r>
      <w:r w:rsidRPr="00C74842">
        <w:rPr>
          <w:rFonts w:ascii="PT Sans" w:hAnsi="PT Sans" w:cs="Arial"/>
        </w:rPr>
        <w:t>inanziaria, la perizia può essere resa anche successivamente alla realizzazione dell’investimento, senza che il bonus venga perso o decurtato. L’agevolazione competerà a decorrere dall’esercizio in cui sarà disponibile la perizia giurata.</w:t>
      </w:r>
    </w:p>
    <w:p w:rsidR="00AB42BA" w:rsidRPr="00C74842" w:rsidRDefault="00AB42BA" w:rsidP="00AB42BA">
      <w:pPr>
        <w:spacing w:line="320" w:lineRule="exact"/>
        <w:jc w:val="both"/>
        <w:rPr>
          <w:rFonts w:ascii="PT Sans" w:hAnsi="PT Sans" w:cs="Arial"/>
          <w:szCs w:val="22"/>
        </w:rPr>
      </w:pPr>
    </w:p>
    <w:p w:rsidR="00AB42BA" w:rsidRPr="00C74842" w:rsidRDefault="00AB42BA" w:rsidP="00AB42BA">
      <w:pPr>
        <w:pStyle w:val="paragrafo"/>
        <w:spacing w:line="320" w:lineRule="exact"/>
        <w:rPr>
          <w:rFonts w:ascii="PT Sans" w:hAnsi="PT Sans"/>
          <w:b w:val="0"/>
          <w:color w:val="006EB7"/>
        </w:rPr>
      </w:pPr>
      <w:r w:rsidRPr="00C74842">
        <w:rPr>
          <w:rFonts w:ascii="PT Sans" w:hAnsi="PT Sans"/>
          <w:color w:val="006EB7"/>
        </w:rPr>
        <w:t>L’</w:t>
      </w:r>
      <w:r w:rsidRPr="00C74842">
        <w:rPr>
          <w:rFonts w:ascii="PT Sans" w:hAnsi="PT Sans"/>
          <w:i/>
          <w:color w:val="006EB7"/>
        </w:rPr>
        <w:t>iper</w:t>
      </w:r>
      <w:r w:rsidRPr="00C74842">
        <w:rPr>
          <w:rFonts w:ascii="PT Sans" w:hAnsi="PT Sans"/>
          <w:color w:val="006EB7"/>
        </w:rPr>
        <w:t xml:space="preserve"> ammortamento</w:t>
      </w:r>
    </w:p>
    <w:p w:rsidR="00AB42BA" w:rsidRPr="00C74842" w:rsidRDefault="00AB42BA" w:rsidP="00AB42BA">
      <w:pPr>
        <w:spacing w:line="320" w:lineRule="exact"/>
        <w:jc w:val="both"/>
        <w:rPr>
          <w:rFonts w:ascii="PT Sans" w:hAnsi="PT Sans" w:cs="Arial"/>
          <w:szCs w:val="22"/>
        </w:rPr>
      </w:pPr>
      <w:r w:rsidRPr="00C74842">
        <w:rPr>
          <w:rFonts w:ascii="PT Sans" w:hAnsi="PT Sans" w:cs="Arial"/>
          <w:szCs w:val="22"/>
        </w:rPr>
        <w:t>La legge di bilancio 2018 (L. 205/</w:t>
      </w:r>
      <w:r>
        <w:rPr>
          <w:rFonts w:ascii="PT Sans" w:hAnsi="PT Sans" w:cs="Arial"/>
          <w:szCs w:val="22"/>
        </w:rPr>
        <w:t>20</w:t>
      </w:r>
      <w:r w:rsidRPr="00C74842">
        <w:rPr>
          <w:rFonts w:ascii="PT Sans" w:hAnsi="PT Sans" w:cs="Arial"/>
          <w:szCs w:val="22"/>
        </w:rPr>
        <w:t>17) oltre a prorogare il super ammortamento, ho prorogato anche l’</w:t>
      </w:r>
      <w:r w:rsidRPr="00C74842">
        <w:rPr>
          <w:rFonts w:ascii="PT Sans" w:hAnsi="PT Sans" w:cs="Arial"/>
          <w:i/>
          <w:szCs w:val="22"/>
        </w:rPr>
        <w:t>iper</w:t>
      </w:r>
      <w:r w:rsidRPr="00C74842">
        <w:rPr>
          <w:rFonts w:ascii="PT Sans" w:hAnsi="PT Sans" w:cs="Arial"/>
          <w:szCs w:val="22"/>
        </w:rPr>
        <w:t xml:space="preserve"> ammortamento, introdotto dalla L. 232/</w:t>
      </w:r>
      <w:r>
        <w:rPr>
          <w:rFonts w:ascii="PT Sans" w:hAnsi="PT Sans" w:cs="Arial"/>
          <w:szCs w:val="22"/>
        </w:rPr>
        <w:t>20</w:t>
      </w:r>
      <w:r w:rsidRPr="00C74842">
        <w:rPr>
          <w:rFonts w:ascii="PT Sans" w:hAnsi="PT Sans" w:cs="Arial"/>
          <w:szCs w:val="22"/>
        </w:rPr>
        <w:t>16.</w:t>
      </w:r>
    </w:p>
    <w:p w:rsidR="00AB42BA" w:rsidRPr="00C74842" w:rsidRDefault="00AB42BA" w:rsidP="00AB42BA">
      <w:pPr>
        <w:spacing w:line="320" w:lineRule="exact"/>
        <w:jc w:val="both"/>
        <w:rPr>
          <w:rFonts w:ascii="PT Sans" w:hAnsi="PT Sans" w:cs="Arial"/>
          <w:szCs w:val="22"/>
        </w:rPr>
      </w:pPr>
      <w:r w:rsidRPr="00C74842">
        <w:rPr>
          <w:rFonts w:ascii="PT Sans" w:hAnsi="PT Sans" w:cs="Arial"/>
          <w:szCs w:val="22"/>
        </w:rPr>
        <w:t>Si tratta di una disciplina particolarmente incentivante per gli investimenti ad elevato impatto tecnologico (cosiddetti “industria 4.0”): si tratta di beni nuovi finalizzati a favorire processi di trasformazione tecnologica/digitale delle imprese, ricompresi nell’Allegato A della L. 232/</w:t>
      </w:r>
      <w:r>
        <w:rPr>
          <w:rFonts w:ascii="PT Sans" w:hAnsi="PT Sans" w:cs="Arial"/>
          <w:szCs w:val="22"/>
        </w:rPr>
        <w:t>20</w:t>
      </w:r>
      <w:r w:rsidRPr="00C74842">
        <w:rPr>
          <w:rFonts w:ascii="PT Sans" w:hAnsi="PT Sans" w:cs="Arial"/>
          <w:szCs w:val="22"/>
        </w:rPr>
        <w:t xml:space="preserve">16, ai quali viene attribuito un incremento del costo deducibile pari al 150% (quindi, un bene di costo 100, può essere dedotto per 250). </w:t>
      </w:r>
    </w:p>
    <w:p w:rsidR="00AB42BA" w:rsidRPr="00C74842" w:rsidRDefault="00AB42BA" w:rsidP="00AB42BA">
      <w:pPr>
        <w:spacing w:line="320" w:lineRule="exact"/>
        <w:jc w:val="both"/>
        <w:rPr>
          <w:rFonts w:ascii="PT Sans" w:hAnsi="PT Sans" w:cs="Arial"/>
          <w:szCs w:val="22"/>
        </w:rPr>
      </w:pPr>
      <w:r w:rsidRPr="00C74842">
        <w:rPr>
          <w:rFonts w:ascii="PT Sans" w:hAnsi="PT Sans" w:cs="Arial"/>
          <w:szCs w:val="22"/>
        </w:rPr>
        <w:t xml:space="preserve">La deduzione del maggior costo non avviene </w:t>
      </w:r>
      <w:r>
        <w:rPr>
          <w:rFonts w:ascii="PT Sans" w:hAnsi="PT Sans" w:cs="Arial"/>
          <w:szCs w:val="22"/>
        </w:rPr>
        <w:t xml:space="preserve">in </w:t>
      </w:r>
      <w:r w:rsidRPr="00C74842">
        <w:rPr>
          <w:rFonts w:ascii="PT Sans" w:hAnsi="PT Sans" w:cs="Arial"/>
          <w:szCs w:val="22"/>
        </w:rPr>
        <w:t>unica soluzione all’atto dell’acquisto, ma segue il processo di ammortamento del bene.</w:t>
      </w:r>
    </w:p>
    <w:p w:rsidR="00AB42BA" w:rsidRPr="00C74842" w:rsidRDefault="00AB42BA" w:rsidP="00AB42BA">
      <w:pPr>
        <w:spacing w:line="320" w:lineRule="exact"/>
        <w:jc w:val="both"/>
        <w:rPr>
          <w:rFonts w:ascii="PT Sans" w:hAnsi="PT Sans" w:cs="Arial"/>
          <w:szCs w:val="22"/>
        </w:rPr>
      </w:pPr>
      <w:r w:rsidRPr="00C74842">
        <w:rPr>
          <w:rFonts w:ascii="PT Sans" w:hAnsi="PT Sans" w:cs="Arial"/>
          <w:szCs w:val="22"/>
        </w:rPr>
        <w:t>La legge di bilancio per il 2018 ha disposto la proroga dell’agevolazione per i beni strumentali nuovi:</w:t>
      </w:r>
    </w:p>
    <w:p w:rsidR="00AB42BA" w:rsidRPr="00C74842" w:rsidRDefault="00AB42BA" w:rsidP="00BB6277">
      <w:pPr>
        <w:pStyle w:val="Paragrafoelenco"/>
        <w:numPr>
          <w:ilvl w:val="0"/>
          <w:numId w:val="20"/>
        </w:numPr>
        <w:spacing w:line="320" w:lineRule="exact"/>
        <w:ind w:left="426" w:hanging="426"/>
        <w:jc w:val="both"/>
        <w:rPr>
          <w:rFonts w:ascii="PT Sans" w:hAnsi="PT Sans" w:cs="Arial"/>
          <w:sz w:val="22"/>
          <w:szCs w:val="22"/>
        </w:rPr>
      </w:pPr>
      <w:r w:rsidRPr="00C74842">
        <w:rPr>
          <w:rFonts w:ascii="PT Sans" w:hAnsi="PT Sans" w:cs="Arial"/>
          <w:sz w:val="22"/>
          <w:szCs w:val="22"/>
        </w:rPr>
        <w:t>acquisiti dal 01.01.2018 al 31.12.2018, ovvero</w:t>
      </w:r>
    </w:p>
    <w:p w:rsidR="00AB42BA" w:rsidRPr="00C74842" w:rsidRDefault="00AB42BA" w:rsidP="00BB6277">
      <w:pPr>
        <w:pStyle w:val="Paragrafoelenco"/>
        <w:numPr>
          <w:ilvl w:val="0"/>
          <w:numId w:val="20"/>
        </w:numPr>
        <w:spacing w:line="320" w:lineRule="exact"/>
        <w:ind w:left="426" w:hanging="426"/>
        <w:jc w:val="both"/>
        <w:rPr>
          <w:rFonts w:ascii="PT Sans" w:hAnsi="PT Sans" w:cs="Arial"/>
          <w:sz w:val="22"/>
          <w:szCs w:val="22"/>
        </w:rPr>
      </w:pPr>
      <w:r w:rsidRPr="00C74842">
        <w:rPr>
          <w:rFonts w:ascii="PT Sans" w:hAnsi="PT Sans" w:cs="Arial"/>
          <w:sz w:val="22"/>
          <w:szCs w:val="22"/>
        </w:rPr>
        <w:t>acquisiti entro il 31.12.2019 (in questo caso l’orizzonte temporale è maggiore), se l’investimento è avviato nel 2018 con versamento di un acconto almeno in misura pari al 20% del costo di acquisizione.</w:t>
      </w:r>
    </w:p>
    <w:p w:rsidR="00AB42BA" w:rsidRDefault="00AB42BA" w:rsidP="00AB42BA">
      <w:pPr>
        <w:spacing w:line="280" w:lineRule="exact"/>
        <w:jc w:val="both"/>
        <w:rPr>
          <w:rFonts w:cs="Arial"/>
          <w:szCs w:val="22"/>
        </w:rPr>
      </w:pPr>
    </w:p>
    <w:p w:rsidR="00AB42BA" w:rsidRPr="00C74842" w:rsidRDefault="00AB42BA" w:rsidP="00AB42BA">
      <w:pPr>
        <w:pStyle w:val="paragrafo"/>
        <w:spacing w:line="320" w:lineRule="exact"/>
        <w:rPr>
          <w:rFonts w:ascii="PT Sans" w:hAnsi="PT Sans"/>
          <w:color w:val="006EB7"/>
        </w:rPr>
      </w:pPr>
      <w:r w:rsidRPr="00C74842">
        <w:rPr>
          <w:rFonts w:ascii="PT Sans" w:hAnsi="PT Sans"/>
          <w:color w:val="006EB7"/>
        </w:rPr>
        <w:t>La perizia</w:t>
      </w:r>
    </w:p>
    <w:p w:rsidR="00AB42BA" w:rsidRPr="00C74842" w:rsidRDefault="00AB42BA" w:rsidP="00AB42BA">
      <w:pPr>
        <w:spacing w:line="320" w:lineRule="exact"/>
        <w:jc w:val="both"/>
        <w:rPr>
          <w:rFonts w:ascii="PT Sans" w:hAnsi="PT Sans" w:cs="Arial"/>
          <w:szCs w:val="22"/>
        </w:rPr>
      </w:pPr>
      <w:r w:rsidRPr="00C74842">
        <w:rPr>
          <w:rFonts w:ascii="PT Sans" w:hAnsi="PT Sans" w:cs="Arial"/>
          <w:szCs w:val="22"/>
        </w:rPr>
        <w:t>Per assicurare l’agevolazione è necessario che il bene, oltre a essere ricompreso nell’elenco dei beni agevolabili, sia stato interconnesso al sistema aziendale di gestione della produzione o alla rete di fornitura.</w:t>
      </w:r>
    </w:p>
    <w:p w:rsidR="00AB42BA" w:rsidRPr="00C74842" w:rsidRDefault="00AB42BA" w:rsidP="00AB42BA">
      <w:pPr>
        <w:spacing w:line="320" w:lineRule="exact"/>
        <w:jc w:val="both"/>
        <w:rPr>
          <w:rFonts w:ascii="PT Sans" w:hAnsi="PT Sans" w:cs="Arial"/>
          <w:szCs w:val="22"/>
        </w:rPr>
      </w:pPr>
      <w:r w:rsidRPr="00C74842">
        <w:rPr>
          <w:rFonts w:ascii="PT Sans" w:hAnsi="PT Sans" w:cs="Arial"/>
          <w:szCs w:val="22"/>
        </w:rPr>
        <w:t>Il rispetto dei requisiti formali deve essere attestato da:</w:t>
      </w:r>
    </w:p>
    <w:p w:rsidR="00AB42BA" w:rsidRPr="00C74842" w:rsidRDefault="00AB42BA" w:rsidP="00BB6277">
      <w:pPr>
        <w:pStyle w:val="Paragrafoelenco"/>
        <w:numPr>
          <w:ilvl w:val="0"/>
          <w:numId w:val="21"/>
        </w:numPr>
        <w:spacing w:line="320" w:lineRule="exact"/>
        <w:ind w:left="426" w:hanging="426"/>
        <w:jc w:val="both"/>
        <w:rPr>
          <w:rFonts w:ascii="PT Sans" w:hAnsi="PT Sans" w:cs="Arial"/>
          <w:sz w:val="22"/>
          <w:szCs w:val="22"/>
        </w:rPr>
      </w:pPr>
      <w:r w:rsidRPr="00C74842">
        <w:rPr>
          <w:rFonts w:ascii="PT Sans" w:hAnsi="PT Sans" w:cs="Arial"/>
          <w:sz w:val="22"/>
          <w:szCs w:val="22"/>
        </w:rPr>
        <w:t xml:space="preserve">una autocertificazione resa dal legale rappresentante, ovvero </w:t>
      </w:r>
    </w:p>
    <w:p w:rsidR="00AB42BA" w:rsidRPr="00C74842" w:rsidRDefault="00AB42BA" w:rsidP="00BB6277">
      <w:pPr>
        <w:pStyle w:val="Paragrafoelenco"/>
        <w:numPr>
          <w:ilvl w:val="0"/>
          <w:numId w:val="21"/>
        </w:numPr>
        <w:spacing w:line="320" w:lineRule="exact"/>
        <w:ind w:left="426" w:hanging="426"/>
        <w:jc w:val="both"/>
        <w:rPr>
          <w:rFonts w:ascii="PT Sans" w:hAnsi="PT Sans" w:cs="Arial"/>
          <w:sz w:val="22"/>
          <w:szCs w:val="22"/>
        </w:rPr>
      </w:pPr>
      <w:r w:rsidRPr="00C74842">
        <w:rPr>
          <w:rFonts w:ascii="PT Sans" w:hAnsi="PT Sans" w:cs="Arial"/>
          <w:sz w:val="22"/>
          <w:szCs w:val="22"/>
        </w:rPr>
        <w:t>per i beni aventi un costo di acquisizione superiore a</w:t>
      </w:r>
      <w:r>
        <w:rPr>
          <w:rFonts w:ascii="PT Sans" w:hAnsi="PT Sans" w:cs="Arial"/>
          <w:sz w:val="22"/>
          <w:szCs w:val="22"/>
        </w:rPr>
        <w:t xml:space="preserve"> </w:t>
      </w:r>
      <w:r w:rsidRPr="00C74842">
        <w:rPr>
          <w:rFonts w:ascii="PT Sans" w:hAnsi="PT Sans" w:cs="Arial"/>
          <w:sz w:val="22"/>
          <w:szCs w:val="22"/>
        </w:rPr>
        <w:t>500.000</w:t>
      </w:r>
      <w:r>
        <w:rPr>
          <w:rFonts w:ascii="PT Sans" w:hAnsi="PT Sans" w:cs="Arial"/>
          <w:sz w:val="22"/>
          <w:szCs w:val="22"/>
        </w:rPr>
        <w:t xml:space="preserve"> euro</w:t>
      </w:r>
      <w:r w:rsidRPr="00C74842">
        <w:rPr>
          <w:rFonts w:ascii="PT Sans" w:hAnsi="PT Sans" w:cs="Arial"/>
          <w:sz w:val="22"/>
          <w:szCs w:val="22"/>
        </w:rPr>
        <w:t>, una perizia tecnica giurata rilasciata da un ingegnere o da un perito industriale iscritti nei rispettivi albi professionali ovvero un attestato di conformità rilasciato da un ente di certificazione accreditato.</w:t>
      </w:r>
    </w:p>
    <w:p w:rsidR="00AB42BA" w:rsidRPr="00C74842" w:rsidRDefault="00AB42BA" w:rsidP="00AB42BA">
      <w:pPr>
        <w:spacing w:line="320" w:lineRule="exact"/>
        <w:jc w:val="both"/>
        <w:rPr>
          <w:rFonts w:ascii="PT Sans" w:hAnsi="PT Sans" w:cs="Arial"/>
          <w:szCs w:val="22"/>
        </w:rPr>
      </w:pPr>
      <w:r w:rsidRPr="00C74842">
        <w:rPr>
          <w:rFonts w:ascii="PT Sans" w:hAnsi="PT Sans" w:cs="Arial"/>
          <w:szCs w:val="22"/>
        </w:rPr>
        <w:t>Tali documenti devono essere acquisiti dall’impresa entro il periodo di imposta in cui il bene entra in funzione, ovvero, se successivo, entro il periodo di imposta in cui il bene è interconnesso al sistema aziendale di gestione della produzione o alla rete di fornitura; in quest’ultimo caso, l’agevolazione sarà fruita solo a decorrere dal periodo di imposta in cui si realizza il requisito dell’interconnessione.</w:t>
      </w:r>
    </w:p>
    <w:p w:rsidR="00AB42BA" w:rsidRPr="00C74842" w:rsidRDefault="00AB42BA" w:rsidP="00AB42BA">
      <w:pPr>
        <w:spacing w:line="320" w:lineRule="exact"/>
        <w:jc w:val="both"/>
        <w:rPr>
          <w:rFonts w:ascii="PT Sans" w:hAnsi="PT Sans" w:cs="Arial"/>
          <w:szCs w:val="22"/>
        </w:rPr>
      </w:pPr>
      <w:r w:rsidRPr="00C74842">
        <w:rPr>
          <w:rFonts w:ascii="PT Sans" w:hAnsi="PT Sans" w:cs="Arial"/>
          <w:szCs w:val="22"/>
        </w:rPr>
        <w:t xml:space="preserve">Nella </w:t>
      </w:r>
      <w:r>
        <w:rPr>
          <w:rFonts w:ascii="PT Sans" w:hAnsi="PT Sans" w:cs="Arial"/>
          <w:szCs w:val="22"/>
        </w:rPr>
        <w:t xml:space="preserve">risoluzione n. </w:t>
      </w:r>
      <w:r w:rsidRPr="00C74842">
        <w:rPr>
          <w:rFonts w:ascii="PT Sans" w:hAnsi="PT Sans" w:cs="Arial"/>
          <w:szCs w:val="22"/>
        </w:rPr>
        <w:t>27/E/</w:t>
      </w:r>
      <w:r>
        <w:rPr>
          <w:rFonts w:ascii="PT Sans" w:hAnsi="PT Sans" w:cs="Arial"/>
          <w:szCs w:val="22"/>
        </w:rPr>
        <w:t>20</w:t>
      </w:r>
      <w:r w:rsidRPr="00C74842">
        <w:rPr>
          <w:rFonts w:ascii="PT Sans" w:hAnsi="PT Sans" w:cs="Arial"/>
          <w:szCs w:val="22"/>
        </w:rPr>
        <w:t>18 l’Agenzia osserva come la norma non preveda alcun termine entro il quale, a pena di decadenza, devono essere acquisiti i documenti attestanti la sussistenza dei requisiti necessari per l'agevolazione.</w:t>
      </w:r>
    </w:p>
    <w:p w:rsidR="00AB42BA" w:rsidRPr="00C74842" w:rsidRDefault="00AB42BA" w:rsidP="00AB42BA">
      <w:pPr>
        <w:spacing w:line="320" w:lineRule="exact"/>
        <w:jc w:val="both"/>
        <w:rPr>
          <w:rFonts w:ascii="PT Sans" w:hAnsi="PT Sans" w:cs="Arial"/>
          <w:szCs w:val="22"/>
        </w:rPr>
      </w:pPr>
      <w:r w:rsidRPr="00C74842">
        <w:rPr>
          <w:rFonts w:ascii="PT Sans" w:hAnsi="PT Sans" w:cs="Arial"/>
          <w:szCs w:val="22"/>
        </w:rPr>
        <w:t xml:space="preserve">Ciò posto, considerato che la documentazione richiesta riveste un ruolo fondamentale nell’ambito della disciplina agevolativa (in quanto deve attestare, tra l’altro, il rispetto del requisito dell’interconnessione, </w:t>
      </w:r>
      <w:r w:rsidRPr="00C74842">
        <w:rPr>
          <w:rFonts w:ascii="PT Sans" w:hAnsi="PT Sans" w:cs="Arial"/>
          <w:szCs w:val="22"/>
        </w:rPr>
        <w:lastRenderedPageBreak/>
        <w:t>indispensabile per la spettanza e per la fruizione del beneficio), nella particolare ipotesi in cui l’acquisizione dei documenti avvenga in un periodo di imposta successivo a quello di interconnessione, la fruizione dell’agevolazione inizierà dal periodo di imposta in cui i documenti vengono acquisiti.</w:t>
      </w:r>
    </w:p>
    <w:p w:rsidR="00AB42BA" w:rsidRPr="00C74842" w:rsidRDefault="00AB42BA" w:rsidP="00AB42BA">
      <w:pPr>
        <w:spacing w:line="320" w:lineRule="exact"/>
        <w:jc w:val="both"/>
        <w:rPr>
          <w:rFonts w:ascii="PT Sans" w:hAnsi="PT Sans" w:cs="Arial"/>
          <w:szCs w:val="22"/>
        </w:rPr>
      </w:pPr>
      <w:r w:rsidRPr="00C74842">
        <w:rPr>
          <w:rFonts w:ascii="PT Sans" w:hAnsi="PT Sans" w:cs="Arial"/>
          <w:szCs w:val="22"/>
        </w:rPr>
        <w:t>In altri termini, l’assolvimento dell’onere documentale in un periodo di imposta successivo all’interconnessione non è di ostacolo alla spettanza dell’agevolazione, ma produce un semplice slittamento del momento dal quale si inizia a fruire del beneficio.</w:t>
      </w:r>
    </w:p>
    <w:p w:rsidR="00AB42BA" w:rsidRDefault="00AB42BA" w:rsidP="00AB42BA">
      <w:pPr>
        <w:spacing w:line="280" w:lineRule="exact"/>
        <w:jc w:val="both"/>
        <w:rPr>
          <w:rFonts w:ascii="PT Sans" w:hAnsi="PT Sans" w:cs="Arial"/>
          <w:szCs w:val="22"/>
        </w:rPr>
      </w:pPr>
    </w:p>
    <w:tbl>
      <w:tblPr>
        <w:tblW w:w="4945" w:type="pct"/>
        <w:tblInd w:w="108" w:type="dxa"/>
        <w:tblBorders>
          <w:top w:val="single" w:sz="4" w:space="0" w:color="779BAD"/>
          <w:left w:val="single" w:sz="4" w:space="0" w:color="779BAD"/>
          <w:bottom w:val="single" w:sz="4" w:space="0" w:color="779BAD"/>
          <w:right w:val="single" w:sz="4" w:space="0" w:color="779BAD"/>
          <w:insideH w:val="single" w:sz="4" w:space="0" w:color="C73557"/>
          <w:insideV w:val="single" w:sz="4" w:space="0" w:color="C73557"/>
        </w:tblBorders>
        <w:tblLook w:val="01E0" w:firstRow="1" w:lastRow="1" w:firstColumn="1" w:lastColumn="1" w:noHBand="0" w:noVBand="0"/>
      </w:tblPr>
      <w:tblGrid>
        <w:gridCol w:w="1259"/>
        <w:gridCol w:w="8488"/>
      </w:tblGrid>
      <w:tr w:rsidR="00AB42BA" w:rsidRPr="006F1BAF" w:rsidTr="006D664E">
        <w:trPr>
          <w:gridAfter w:val="1"/>
          <w:wAfter w:w="4354" w:type="pct"/>
        </w:trPr>
        <w:tc>
          <w:tcPr>
            <w:tcW w:w="646" w:type="pct"/>
            <w:tcBorders>
              <w:top w:val="single" w:sz="4" w:space="0" w:color="779BAD"/>
              <w:left w:val="single" w:sz="4" w:space="0" w:color="779BAD"/>
              <w:bottom w:val="single" w:sz="4" w:space="0" w:color="779BAD"/>
              <w:right w:val="single" w:sz="4" w:space="0" w:color="779BAD"/>
            </w:tcBorders>
            <w:shd w:val="clear" w:color="auto" w:fill="006EB7"/>
            <w:vAlign w:val="center"/>
          </w:tcPr>
          <w:p w:rsidR="00AB42BA" w:rsidRPr="006F1BAF" w:rsidRDefault="00AB42BA" w:rsidP="006D664E">
            <w:pPr>
              <w:spacing w:before="60" w:after="40"/>
              <w:rPr>
                <w:rFonts w:ascii="PT Sans" w:hAnsi="PT Sans" w:cs="Tahoma"/>
                <w:color w:val="FFFFFF"/>
                <w:szCs w:val="22"/>
              </w:rPr>
            </w:pPr>
            <w:r w:rsidRPr="006F1BAF">
              <w:rPr>
                <w:rFonts w:ascii="PT Sans" w:hAnsi="PT Sans" w:cs="Tahoma"/>
                <w:b/>
                <w:color w:val="FFFFFF"/>
                <w:szCs w:val="22"/>
              </w:rPr>
              <w:t xml:space="preserve">Esempio </w:t>
            </w:r>
          </w:p>
        </w:tc>
      </w:tr>
      <w:tr w:rsidR="00AB42BA" w:rsidRPr="006F1BAF" w:rsidTr="006D664E">
        <w:trPr>
          <w:trHeight w:val="1551"/>
        </w:trPr>
        <w:tc>
          <w:tcPr>
            <w:tcW w:w="5000" w:type="pct"/>
            <w:gridSpan w:val="2"/>
            <w:tcBorders>
              <w:top w:val="single" w:sz="4" w:space="0" w:color="006EB7"/>
              <w:left w:val="single" w:sz="4" w:space="0" w:color="006EB7"/>
              <w:bottom w:val="single" w:sz="4" w:space="0" w:color="006EB7"/>
              <w:right w:val="single" w:sz="4" w:space="0" w:color="006EB7"/>
            </w:tcBorders>
            <w:shd w:val="clear" w:color="auto" w:fill="auto"/>
            <w:vAlign w:val="center"/>
          </w:tcPr>
          <w:p w:rsidR="00AB42BA" w:rsidRPr="00C74842" w:rsidRDefault="00AB42BA" w:rsidP="006D664E">
            <w:pPr>
              <w:spacing w:line="280" w:lineRule="exact"/>
              <w:jc w:val="both"/>
              <w:rPr>
                <w:rFonts w:ascii="PT Sans" w:hAnsi="PT Sans" w:cs="Arial"/>
                <w:szCs w:val="22"/>
              </w:rPr>
            </w:pPr>
            <w:r w:rsidRPr="00C74842">
              <w:rPr>
                <w:rFonts w:ascii="PT Sans" w:hAnsi="PT Sans" w:cs="Arial"/>
                <w:szCs w:val="22"/>
              </w:rPr>
              <w:t>Bene agevolabile acquistato, entrato in funzione e interconnesso nel 2017; la perizia giurata viene acquisita nel 2018.</w:t>
            </w:r>
          </w:p>
          <w:p w:rsidR="00AB42BA" w:rsidRPr="00C74842" w:rsidRDefault="00AB42BA" w:rsidP="006D664E">
            <w:pPr>
              <w:spacing w:line="280" w:lineRule="exact"/>
              <w:jc w:val="both"/>
              <w:rPr>
                <w:rFonts w:ascii="PT Sans" w:hAnsi="PT Sans" w:cs="Arial"/>
                <w:szCs w:val="22"/>
              </w:rPr>
            </w:pPr>
            <w:r w:rsidRPr="00C74842">
              <w:rPr>
                <w:rFonts w:ascii="PT Sans" w:hAnsi="PT Sans" w:cs="Arial"/>
                <w:szCs w:val="22"/>
              </w:rPr>
              <w:t>L’impresa potrà fruire dell’</w:t>
            </w:r>
            <w:r w:rsidRPr="00C74842">
              <w:rPr>
                <w:rFonts w:ascii="PT Sans" w:hAnsi="PT Sans" w:cs="Arial"/>
                <w:i/>
                <w:szCs w:val="22"/>
              </w:rPr>
              <w:t>iper</w:t>
            </w:r>
            <w:r w:rsidRPr="00C74842">
              <w:rPr>
                <w:rFonts w:ascii="PT Sans" w:hAnsi="PT Sans" w:cs="Arial"/>
                <w:szCs w:val="22"/>
              </w:rPr>
              <w:t xml:space="preserve"> ammortamento a partire dal periodo di imposta 2018, mentre per il 2017 beneficerà del super ammortamento.</w:t>
            </w:r>
          </w:p>
          <w:p w:rsidR="00AB42BA" w:rsidRPr="00C74842" w:rsidRDefault="00AB42BA" w:rsidP="006D664E">
            <w:pPr>
              <w:spacing w:line="280" w:lineRule="exact"/>
              <w:jc w:val="both"/>
              <w:rPr>
                <w:rFonts w:ascii="PT Sans" w:hAnsi="PT Sans" w:cs="Arial"/>
                <w:szCs w:val="22"/>
              </w:rPr>
            </w:pPr>
            <w:r w:rsidRPr="00C74842">
              <w:rPr>
                <w:rFonts w:ascii="PT Sans" w:hAnsi="PT Sans" w:cs="Arial"/>
                <w:szCs w:val="22"/>
              </w:rPr>
              <w:t xml:space="preserve">La quota di </w:t>
            </w:r>
            <w:r w:rsidRPr="00C74842">
              <w:rPr>
                <w:rFonts w:ascii="PT Sans" w:hAnsi="PT Sans" w:cs="Arial"/>
                <w:i/>
                <w:szCs w:val="22"/>
              </w:rPr>
              <w:t>iper</w:t>
            </w:r>
            <w:r w:rsidRPr="00C74842">
              <w:rPr>
                <w:rFonts w:ascii="PT Sans" w:hAnsi="PT Sans" w:cs="Arial"/>
                <w:szCs w:val="22"/>
              </w:rPr>
              <w:t xml:space="preserve"> ammortamento annualmente fruibile dal 2018 sarà calcolata applicando il coefficiente di ammortamento fiscale alla differenza tra la maggiorazione complessiva relativa all’</w:t>
            </w:r>
            <w:r w:rsidRPr="00C74842">
              <w:rPr>
                <w:rFonts w:ascii="PT Sans" w:hAnsi="PT Sans" w:cs="Arial"/>
                <w:i/>
                <w:szCs w:val="22"/>
              </w:rPr>
              <w:t xml:space="preserve">iper </w:t>
            </w:r>
            <w:r w:rsidRPr="00C74842">
              <w:rPr>
                <w:rFonts w:ascii="PT Sans" w:hAnsi="PT Sans" w:cs="Arial"/>
                <w:szCs w:val="22"/>
              </w:rPr>
              <w:t>ammortamento e la quota di maggiorazione fruita a titolo di super ammortamento n</w:t>
            </w:r>
            <w:r>
              <w:rPr>
                <w:rFonts w:ascii="PT Sans" w:hAnsi="PT Sans" w:cs="Arial"/>
                <w:szCs w:val="22"/>
              </w:rPr>
              <w:t>el periodo d’imposta precedente</w:t>
            </w:r>
          </w:p>
        </w:tc>
      </w:tr>
    </w:tbl>
    <w:p w:rsidR="00AB42BA" w:rsidRPr="006F1BAF" w:rsidRDefault="00AB42BA" w:rsidP="00AB42BA">
      <w:pPr>
        <w:rPr>
          <w:rFonts w:ascii="PT Sans" w:hAnsi="PT Sans"/>
        </w:rPr>
      </w:pPr>
    </w:p>
    <w:p w:rsidR="00AB42BA" w:rsidRPr="00C74842" w:rsidRDefault="00AB42BA" w:rsidP="00AB42BA">
      <w:pPr>
        <w:pStyle w:val="corpotestoinformativa"/>
        <w:spacing w:line="320" w:lineRule="exact"/>
        <w:rPr>
          <w:rFonts w:ascii="PT Sans" w:hAnsi="PT Sans"/>
        </w:rPr>
      </w:pPr>
      <w:r w:rsidRPr="00C74842">
        <w:rPr>
          <w:rFonts w:ascii="PT Sans" w:hAnsi="PT Sans"/>
        </w:rPr>
        <w:t>In definitiva, l’</w:t>
      </w:r>
      <w:r w:rsidRPr="00C74842">
        <w:rPr>
          <w:rFonts w:ascii="PT Sans" w:hAnsi="PT Sans"/>
          <w:i/>
        </w:rPr>
        <w:t>iper</w:t>
      </w:r>
      <w:r w:rsidRPr="00C74842">
        <w:rPr>
          <w:rFonts w:ascii="PT Sans" w:hAnsi="PT Sans"/>
        </w:rPr>
        <w:t xml:space="preserve"> ammortamento è comunque assicurato per l’importo integrale; si modificherà solamente il momento a partire dal quale tale </w:t>
      </w:r>
      <w:r w:rsidRPr="00C42A03">
        <w:rPr>
          <w:rFonts w:ascii="PT Sans" w:hAnsi="PT Sans"/>
          <w:i/>
        </w:rPr>
        <w:t>bonus</w:t>
      </w:r>
      <w:r w:rsidRPr="00C74842">
        <w:rPr>
          <w:rFonts w:ascii="PT Sans" w:hAnsi="PT Sans"/>
        </w:rPr>
        <w:t xml:space="preserve"> sarà computato in dichiarazione.</w:t>
      </w:r>
    </w:p>
    <w:p w:rsidR="00AB42BA" w:rsidRDefault="00AB42BA" w:rsidP="00AB42BA">
      <w:pPr>
        <w:pStyle w:val="corpotestoinformativa"/>
        <w:rPr>
          <w:rFonts w:ascii="PT Sans" w:hAnsi="PT Sans"/>
        </w:rPr>
      </w:pPr>
    </w:p>
    <w:p w:rsidR="00AB42BA" w:rsidRPr="00301148" w:rsidRDefault="003A50ED" w:rsidP="003A50ED">
      <w:pPr>
        <w:pStyle w:val="corpotestoinformativa"/>
        <w:jc w:val="center"/>
        <w:rPr>
          <w:rFonts w:ascii="PT Sans" w:hAnsi="PT Sans"/>
        </w:rPr>
      </w:pPr>
      <w:r>
        <w:rPr>
          <w:rFonts w:ascii="PT Sans" w:hAnsi="PT Sans"/>
        </w:rPr>
        <w:t>**********</w:t>
      </w:r>
    </w:p>
    <w:p w:rsidR="00AB42BA" w:rsidRPr="00301148" w:rsidRDefault="00AB42BA" w:rsidP="00AB42BA">
      <w:pPr>
        <w:jc w:val="both"/>
        <w:rPr>
          <w:rFonts w:ascii="PT Sans" w:hAnsi="PT Sans" w:cs="Arial"/>
          <w:sz w:val="10"/>
          <w:szCs w:val="10"/>
          <w:u w:val="single"/>
        </w:rPr>
      </w:pPr>
    </w:p>
    <w:p w:rsidR="00AB42BA" w:rsidRPr="00301148" w:rsidRDefault="00AB42BA" w:rsidP="00AB42BA">
      <w:pPr>
        <w:pStyle w:val="corpotestoinformativa"/>
        <w:spacing w:before="120"/>
        <w:rPr>
          <w:rFonts w:ascii="PT Sans" w:hAnsi="PT Sans"/>
        </w:rPr>
      </w:pPr>
    </w:p>
    <w:p w:rsidR="00AB42BA" w:rsidRPr="00C24484" w:rsidRDefault="00AB42BA" w:rsidP="00AB42BA">
      <w:pPr>
        <w:pStyle w:val="corpotestoinformativa"/>
        <w:spacing w:line="320" w:lineRule="exact"/>
        <w:jc w:val="center"/>
        <w:rPr>
          <w:rFonts w:ascii="PT Sans" w:hAnsi="PT Sans"/>
          <w:b/>
          <w:bCs/>
          <w:sz w:val="24"/>
        </w:rPr>
      </w:pPr>
      <w:r w:rsidRPr="00C24484">
        <w:rPr>
          <w:rFonts w:ascii="PT Sans" w:hAnsi="PT Sans"/>
          <w:b/>
          <w:bCs/>
          <w:sz w:val="24"/>
        </w:rPr>
        <w:t>I CHIARIMENTI DELLE ENTRATE SULLA TASSAZIONE DELLE SOCIETÀ AGRICOLE</w:t>
      </w:r>
    </w:p>
    <w:p w:rsidR="00AB42BA" w:rsidRPr="00C24484" w:rsidRDefault="00AB42BA" w:rsidP="00AB42BA">
      <w:pPr>
        <w:pStyle w:val="corpotestoinformativa"/>
        <w:spacing w:line="320" w:lineRule="exact"/>
        <w:rPr>
          <w:rFonts w:ascii="PT Sans" w:hAnsi="PT Sans"/>
          <w:bCs/>
        </w:rPr>
      </w:pPr>
    </w:p>
    <w:p w:rsidR="00AB42BA" w:rsidRPr="00C24484" w:rsidRDefault="00AB42BA" w:rsidP="00AB42BA">
      <w:pPr>
        <w:pStyle w:val="corpotestoinformativa"/>
        <w:spacing w:line="320" w:lineRule="exact"/>
        <w:rPr>
          <w:rFonts w:ascii="PT Sans" w:hAnsi="PT Sans"/>
          <w:bCs/>
        </w:rPr>
      </w:pPr>
    </w:p>
    <w:p w:rsidR="00AB42BA" w:rsidRPr="00C24484" w:rsidRDefault="00AB42BA" w:rsidP="00AB42BA">
      <w:pPr>
        <w:pStyle w:val="corpotestoinformativa"/>
        <w:spacing w:line="320" w:lineRule="exact"/>
        <w:rPr>
          <w:rFonts w:ascii="PT Sans" w:hAnsi="PT Sans"/>
          <w:bCs/>
        </w:rPr>
      </w:pPr>
      <w:r w:rsidRPr="00C24484">
        <w:rPr>
          <w:rFonts w:ascii="PT Sans" w:hAnsi="PT Sans"/>
          <w:bCs/>
        </w:rPr>
        <w:t xml:space="preserve">Come noto, l’articolo 2, D.Lgs. 99/2004, con l’intento di incentivare l’utilizzo delle forme societarie nel comparto primario, ha introdotto la figura delle società agricole. </w:t>
      </w:r>
    </w:p>
    <w:p w:rsidR="00AB42BA" w:rsidRPr="00C24484" w:rsidRDefault="00AB42BA" w:rsidP="00AB42BA">
      <w:pPr>
        <w:pStyle w:val="corpotestoinformativa"/>
        <w:spacing w:line="320" w:lineRule="exact"/>
        <w:rPr>
          <w:rFonts w:ascii="PT Sans" w:hAnsi="PT Sans"/>
          <w:bCs/>
        </w:rPr>
      </w:pPr>
      <w:r w:rsidRPr="00C24484">
        <w:rPr>
          <w:rFonts w:ascii="PT Sans" w:hAnsi="PT Sans"/>
          <w:bCs/>
        </w:rPr>
        <w:t>Esse consistono nelle società di persone, di capitali e cooperative che rispettano i seguenti parametri:</w:t>
      </w:r>
    </w:p>
    <w:p w:rsidR="00AB42BA" w:rsidRPr="00C24484" w:rsidRDefault="00AB42BA" w:rsidP="00AB42BA">
      <w:pPr>
        <w:pStyle w:val="corpotestoinformativa"/>
        <w:spacing w:line="320" w:lineRule="exact"/>
        <w:rPr>
          <w:rFonts w:ascii="PT Sans" w:hAnsi="PT Sans"/>
          <w:bCs/>
        </w:rPr>
      </w:pPr>
      <w:r w:rsidRPr="00C24484">
        <w:rPr>
          <w:rFonts w:ascii="PT Sans" w:hAnsi="PT Sans"/>
          <w:bCs/>
        </w:rPr>
        <w:t>- la ragione o denominazione sociale contiene l’indicazione di “società agricola” e</w:t>
      </w:r>
    </w:p>
    <w:p w:rsidR="00AB42BA" w:rsidRPr="00C24484" w:rsidRDefault="00AB42BA" w:rsidP="00AB42BA">
      <w:pPr>
        <w:pStyle w:val="corpotestoinformativa"/>
        <w:spacing w:line="320" w:lineRule="exact"/>
        <w:rPr>
          <w:rFonts w:ascii="PT Sans" w:hAnsi="PT Sans"/>
          <w:bCs/>
        </w:rPr>
      </w:pPr>
      <w:r>
        <w:rPr>
          <w:rFonts w:ascii="PT Sans" w:hAnsi="PT Sans"/>
          <w:bCs/>
        </w:rPr>
        <w:t>-</w:t>
      </w:r>
      <w:r w:rsidRPr="00C24484">
        <w:rPr>
          <w:rFonts w:ascii="PT Sans" w:hAnsi="PT Sans"/>
          <w:bCs/>
        </w:rPr>
        <w:t xml:space="preserve"> l’oggetto sociale prevede l’esercizio esclusivo delle attività di cui all’articolo 2135, cod. civ..</w:t>
      </w:r>
    </w:p>
    <w:p w:rsidR="00AB42BA" w:rsidRPr="00C24484" w:rsidRDefault="00AB42BA" w:rsidP="00AB42BA">
      <w:pPr>
        <w:pStyle w:val="corpotestoinformativa"/>
        <w:spacing w:line="320" w:lineRule="exact"/>
        <w:rPr>
          <w:rFonts w:ascii="PT Sans" w:hAnsi="PT Sans"/>
          <w:bCs/>
        </w:rPr>
      </w:pPr>
      <w:r w:rsidRPr="00C24484">
        <w:rPr>
          <w:rFonts w:ascii="PT Sans" w:hAnsi="PT Sans"/>
          <w:bCs/>
        </w:rPr>
        <w:t>Successivamente, l’articolo 1, comma 1093, L. 296/2006 ha introdotto la possibilità per le società agricole, con l’esclusione delle Spa e delle Sapa, di poter optare per la determinazione del reddito, che rimane di impresa, secondo le regole di cui all’articolo 32, Tuir e quindi catastalmente.</w:t>
      </w:r>
    </w:p>
    <w:p w:rsidR="00AB42BA" w:rsidRPr="00C24484" w:rsidRDefault="00AB42BA" w:rsidP="00AB42BA">
      <w:pPr>
        <w:pStyle w:val="corpotestoinformativa"/>
        <w:spacing w:line="320" w:lineRule="exact"/>
        <w:rPr>
          <w:rFonts w:ascii="PT Sans" w:hAnsi="PT Sans"/>
          <w:bCs/>
        </w:rPr>
      </w:pPr>
      <w:r w:rsidRPr="00C24484">
        <w:rPr>
          <w:rFonts w:ascii="PT Sans" w:hAnsi="PT Sans"/>
          <w:bCs/>
        </w:rPr>
        <w:t xml:space="preserve">Le modalità applicative dell’opzione sono state regolamentate con il D.I. 213/2007 a cui ha fatto seguito la circolare n. 50/E/2010 e recentemente la </w:t>
      </w:r>
      <w:r w:rsidRPr="00C24484">
        <w:rPr>
          <w:rFonts w:ascii="PT Sans" w:hAnsi="PT Sans"/>
          <w:b/>
          <w:bCs/>
        </w:rPr>
        <w:t>risoluzione n. 28/E dell’11 aprile 2018</w:t>
      </w:r>
      <w:r w:rsidRPr="00C24484">
        <w:rPr>
          <w:rFonts w:ascii="PT Sans" w:hAnsi="PT Sans"/>
          <w:bCs/>
        </w:rPr>
        <w:t xml:space="preserve"> che affronta, in questo caso, alcune tematiche specifiche.</w:t>
      </w:r>
    </w:p>
    <w:p w:rsidR="00AB42BA" w:rsidRPr="00C24484" w:rsidRDefault="00AB42BA" w:rsidP="00AB42BA">
      <w:pPr>
        <w:pStyle w:val="corpotestoinformativa"/>
        <w:spacing w:line="320" w:lineRule="exact"/>
        <w:rPr>
          <w:rFonts w:ascii="PT Sans" w:hAnsi="PT Sans"/>
          <w:bCs/>
        </w:rPr>
      </w:pPr>
      <w:r w:rsidRPr="00C24484">
        <w:rPr>
          <w:rFonts w:ascii="PT Sans" w:hAnsi="PT Sans"/>
          <w:bCs/>
        </w:rPr>
        <w:t>Di seguito si riepilogano schematicamente i chiarimenti offerti.</w:t>
      </w:r>
    </w:p>
    <w:p w:rsidR="00AB42BA" w:rsidRPr="00C24484" w:rsidRDefault="00AB42BA" w:rsidP="00AB42BA">
      <w:pPr>
        <w:pStyle w:val="corpotestoinformativa"/>
        <w:spacing w:before="40" w:line="220" w:lineRule="exact"/>
        <w:rPr>
          <w:rFonts w:ascii="PT Sans" w:hAnsi="PT Sans"/>
          <w:bCs/>
        </w:rPr>
      </w:pPr>
    </w:p>
    <w:tbl>
      <w:tblPr>
        <w:tblW w:w="0" w:type="auto"/>
        <w:tblInd w:w="108" w:type="dxa"/>
        <w:tblBorders>
          <w:top w:val="single" w:sz="4" w:space="0" w:color="006EB7"/>
          <w:left w:val="single" w:sz="4" w:space="0" w:color="006EB7"/>
          <w:bottom w:val="single" w:sz="4" w:space="0" w:color="006EB7"/>
          <w:right w:val="single" w:sz="4" w:space="0" w:color="006EB7"/>
          <w:insideH w:val="single" w:sz="4" w:space="0" w:color="006EB7"/>
          <w:insideV w:val="single" w:sz="4" w:space="0" w:color="006EB7"/>
        </w:tblBorders>
        <w:tblLook w:val="04A0" w:firstRow="1" w:lastRow="0" w:firstColumn="1" w:lastColumn="0" w:noHBand="0" w:noVBand="1"/>
      </w:tblPr>
      <w:tblGrid>
        <w:gridCol w:w="2410"/>
        <w:gridCol w:w="7260"/>
      </w:tblGrid>
      <w:tr w:rsidR="00AB42BA" w:rsidRPr="00C24484" w:rsidTr="006D664E">
        <w:tc>
          <w:tcPr>
            <w:tcW w:w="2410" w:type="dxa"/>
            <w:shd w:val="clear" w:color="auto" w:fill="auto"/>
          </w:tcPr>
          <w:p w:rsidR="00AB42BA" w:rsidRPr="00C24484" w:rsidRDefault="00AB42BA" w:rsidP="006D664E">
            <w:pPr>
              <w:pStyle w:val="corpotestoinformativa"/>
              <w:spacing w:line="320" w:lineRule="exact"/>
              <w:rPr>
                <w:rFonts w:ascii="PT Sans" w:hAnsi="PT Sans"/>
                <w:bCs/>
                <w:sz w:val="20"/>
              </w:rPr>
            </w:pPr>
            <w:r w:rsidRPr="00C24484">
              <w:rPr>
                <w:rFonts w:ascii="PT Sans" w:hAnsi="PT Sans"/>
                <w:bCs/>
                <w:sz w:val="20"/>
              </w:rPr>
              <w:t>Modalità di opzione</w:t>
            </w:r>
          </w:p>
        </w:tc>
        <w:tc>
          <w:tcPr>
            <w:tcW w:w="7260" w:type="dxa"/>
            <w:shd w:val="clear" w:color="auto" w:fill="auto"/>
          </w:tcPr>
          <w:p w:rsidR="00AB42BA" w:rsidRPr="00C24484" w:rsidRDefault="00AB42BA" w:rsidP="006D664E">
            <w:pPr>
              <w:pStyle w:val="corpotestoinformativa"/>
              <w:spacing w:line="320" w:lineRule="exact"/>
              <w:rPr>
                <w:rFonts w:ascii="PT Sans" w:hAnsi="PT Sans"/>
                <w:bCs/>
                <w:sz w:val="20"/>
              </w:rPr>
            </w:pPr>
            <w:r w:rsidRPr="00C24484">
              <w:rPr>
                <w:rFonts w:ascii="PT Sans" w:hAnsi="PT Sans"/>
                <w:bCs/>
                <w:sz w:val="20"/>
              </w:rPr>
              <w:t xml:space="preserve">Le regole per l’opzione sono, per effetto di quanto previsto dall’articolo 2, comma 1, D.I. 213/2007, quelle di cui al D.P.R. 442/1997. Ne deriva che vale il comportamento concludente salvo, in caso di omessa comunicazione, la possibilità di applicazione delle sanzioni di cui all’articolo 11, comma 1, D.Lgs. 471/1997, senza possibilità di </w:t>
            </w:r>
            <w:r w:rsidRPr="00C24484">
              <w:rPr>
                <w:rFonts w:ascii="PT Sans" w:hAnsi="PT Sans"/>
                <w:bCs/>
                <w:i/>
                <w:sz w:val="20"/>
              </w:rPr>
              <w:t>remissione in bonis</w:t>
            </w:r>
          </w:p>
        </w:tc>
      </w:tr>
      <w:tr w:rsidR="00AB42BA" w:rsidRPr="00C24484" w:rsidTr="006D664E">
        <w:tc>
          <w:tcPr>
            <w:tcW w:w="2410" w:type="dxa"/>
            <w:shd w:val="clear" w:color="auto" w:fill="auto"/>
          </w:tcPr>
          <w:p w:rsidR="00AB42BA" w:rsidRPr="00C24484" w:rsidRDefault="00AB42BA" w:rsidP="006D664E">
            <w:pPr>
              <w:pStyle w:val="corpotestoinformativa"/>
              <w:spacing w:line="320" w:lineRule="exact"/>
              <w:rPr>
                <w:rFonts w:ascii="PT Sans" w:hAnsi="PT Sans"/>
                <w:bCs/>
                <w:sz w:val="20"/>
              </w:rPr>
            </w:pPr>
            <w:r w:rsidRPr="00C24484">
              <w:rPr>
                <w:rFonts w:ascii="PT Sans" w:hAnsi="PT Sans"/>
                <w:bCs/>
                <w:sz w:val="20"/>
              </w:rPr>
              <w:lastRenderedPageBreak/>
              <w:t>Partecipazione al consolidato fiscale</w:t>
            </w:r>
          </w:p>
        </w:tc>
        <w:tc>
          <w:tcPr>
            <w:tcW w:w="7260" w:type="dxa"/>
            <w:shd w:val="clear" w:color="auto" w:fill="auto"/>
          </w:tcPr>
          <w:p w:rsidR="00AB42BA" w:rsidRPr="00C24484" w:rsidRDefault="00AB42BA" w:rsidP="006D664E">
            <w:pPr>
              <w:pStyle w:val="corpotestoinformativa"/>
              <w:spacing w:line="320" w:lineRule="exact"/>
              <w:rPr>
                <w:rFonts w:ascii="PT Sans" w:hAnsi="PT Sans"/>
                <w:bCs/>
                <w:sz w:val="20"/>
              </w:rPr>
            </w:pPr>
            <w:r w:rsidRPr="00C24484">
              <w:rPr>
                <w:rFonts w:ascii="PT Sans" w:hAnsi="PT Sans"/>
                <w:bCs/>
                <w:sz w:val="20"/>
              </w:rPr>
              <w:t>Le società agricole che hanno optato per la determinazione del reddito su base catastale, in assenza di un espresso divieto, e fermo restando il possesso dei requisiti ordinariamente richiesti, possono partecipare al consolidato fiscale</w:t>
            </w:r>
          </w:p>
        </w:tc>
      </w:tr>
      <w:tr w:rsidR="00AB42BA" w:rsidRPr="00C24484" w:rsidTr="006D664E">
        <w:tc>
          <w:tcPr>
            <w:tcW w:w="2410" w:type="dxa"/>
            <w:shd w:val="clear" w:color="auto" w:fill="auto"/>
          </w:tcPr>
          <w:p w:rsidR="00AB42BA" w:rsidRPr="00C24484" w:rsidRDefault="00AB42BA" w:rsidP="006D664E">
            <w:pPr>
              <w:pStyle w:val="corpotestoinformativa"/>
              <w:spacing w:line="320" w:lineRule="exact"/>
              <w:rPr>
                <w:rFonts w:ascii="PT Sans" w:hAnsi="PT Sans"/>
                <w:bCs/>
                <w:sz w:val="20"/>
              </w:rPr>
            </w:pPr>
            <w:r w:rsidRPr="00C24484">
              <w:rPr>
                <w:rFonts w:ascii="PT Sans" w:hAnsi="PT Sans"/>
                <w:bCs/>
                <w:sz w:val="20"/>
              </w:rPr>
              <w:t>Plusvalenze e minusvalenze su beni immobili</w:t>
            </w:r>
          </w:p>
        </w:tc>
        <w:tc>
          <w:tcPr>
            <w:tcW w:w="7260" w:type="dxa"/>
            <w:shd w:val="clear" w:color="auto" w:fill="auto"/>
          </w:tcPr>
          <w:p w:rsidR="00AB42BA" w:rsidRPr="00C24484" w:rsidRDefault="00AB42BA" w:rsidP="006D664E">
            <w:pPr>
              <w:pStyle w:val="corpotestoinformativa"/>
              <w:spacing w:line="300" w:lineRule="exact"/>
              <w:rPr>
                <w:rFonts w:ascii="PT Sans" w:hAnsi="PT Sans"/>
                <w:bCs/>
                <w:sz w:val="20"/>
              </w:rPr>
            </w:pPr>
            <w:r w:rsidRPr="00C24484">
              <w:rPr>
                <w:rFonts w:ascii="PT Sans" w:hAnsi="PT Sans"/>
                <w:bCs/>
                <w:sz w:val="20"/>
              </w:rPr>
              <w:t xml:space="preserve">L’articolo 5, D.I. 213/2007, prevede che, in vigenza di opzione, alcuni componenti rilevano secondo le regole ordinarie del reddito di impresa. </w:t>
            </w:r>
          </w:p>
          <w:p w:rsidR="00AB42BA" w:rsidRPr="00C24484" w:rsidRDefault="00AB42BA" w:rsidP="006D664E">
            <w:pPr>
              <w:pStyle w:val="corpotestoinformativa"/>
              <w:spacing w:line="300" w:lineRule="exact"/>
              <w:rPr>
                <w:rFonts w:ascii="PT Sans" w:hAnsi="PT Sans"/>
                <w:bCs/>
                <w:sz w:val="20"/>
              </w:rPr>
            </w:pPr>
            <w:r w:rsidRPr="00C24484">
              <w:rPr>
                <w:rFonts w:ascii="PT Sans" w:hAnsi="PT Sans"/>
                <w:bCs/>
                <w:sz w:val="20"/>
              </w:rPr>
              <w:t>Il comma 3 stabilisce che le plusvalenze e minusvalenze relative ai beni immobili si determinano in ogni caso secondo le regole ordinarie e quindi nel rispetto dei criteri di cui agli articoli 86 e 101, Tuir.</w:t>
            </w:r>
          </w:p>
          <w:p w:rsidR="00AB42BA" w:rsidRPr="00C24484" w:rsidRDefault="00AB42BA" w:rsidP="006D664E">
            <w:pPr>
              <w:pStyle w:val="corpotestoinformativa"/>
              <w:spacing w:line="300" w:lineRule="exact"/>
              <w:rPr>
                <w:rFonts w:ascii="PT Sans" w:hAnsi="PT Sans"/>
                <w:bCs/>
                <w:sz w:val="20"/>
              </w:rPr>
            </w:pPr>
            <w:r w:rsidRPr="00C24484">
              <w:rPr>
                <w:rFonts w:ascii="PT Sans" w:hAnsi="PT Sans"/>
                <w:bCs/>
                <w:sz w:val="20"/>
              </w:rPr>
              <w:t>Ne deriva che in caso di possesso del bene da almeno un triennio, è possibile optare per la rateizzazione della plusvalenza in 5 periodi di imposta, anche i</w:t>
            </w:r>
            <w:r>
              <w:rPr>
                <w:rFonts w:ascii="PT Sans" w:hAnsi="PT Sans"/>
                <w:bCs/>
                <w:sz w:val="20"/>
              </w:rPr>
              <w:t>n costanza di regime catastale</w:t>
            </w:r>
          </w:p>
        </w:tc>
      </w:tr>
      <w:tr w:rsidR="00AB42BA" w:rsidRPr="00C24484" w:rsidTr="006D664E">
        <w:tc>
          <w:tcPr>
            <w:tcW w:w="2410" w:type="dxa"/>
            <w:shd w:val="clear" w:color="auto" w:fill="auto"/>
          </w:tcPr>
          <w:p w:rsidR="00AB42BA" w:rsidRPr="00C24484" w:rsidRDefault="00AB42BA" w:rsidP="006D664E">
            <w:pPr>
              <w:pStyle w:val="corpotestoinformativa"/>
              <w:spacing w:line="320" w:lineRule="exact"/>
              <w:rPr>
                <w:rFonts w:ascii="PT Sans" w:hAnsi="PT Sans"/>
                <w:bCs/>
                <w:sz w:val="20"/>
              </w:rPr>
            </w:pPr>
            <w:r w:rsidRPr="00C24484">
              <w:rPr>
                <w:rFonts w:ascii="PT Sans" w:hAnsi="PT Sans"/>
                <w:bCs/>
                <w:sz w:val="20"/>
              </w:rPr>
              <w:t>Interessi passivi</w:t>
            </w:r>
          </w:p>
        </w:tc>
        <w:tc>
          <w:tcPr>
            <w:tcW w:w="7260" w:type="dxa"/>
            <w:shd w:val="clear" w:color="auto" w:fill="auto"/>
          </w:tcPr>
          <w:p w:rsidR="00AB42BA" w:rsidRPr="00C24484" w:rsidRDefault="00AB42BA" w:rsidP="006D664E">
            <w:pPr>
              <w:pStyle w:val="corpotestoinformativa"/>
              <w:spacing w:line="300" w:lineRule="exact"/>
              <w:rPr>
                <w:rFonts w:ascii="PT Sans" w:hAnsi="PT Sans"/>
                <w:bCs/>
                <w:sz w:val="20"/>
              </w:rPr>
            </w:pPr>
            <w:r w:rsidRPr="00C24484">
              <w:rPr>
                <w:rFonts w:ascii="PT Sans" w:hAnsi="PT Sans"/>
                <w:bCs/>
                <w:sz w:val="20"/>
              </w:rPr>
              <w:t>Non è possibile, in vigenza di opzione, utilizzare, in abbattimento del reddito determinato catastalmente, interessi indeducibili riportati da precedenti esercizi ai sensi dell’articolo 96, comma 4, Tuir, in quanto tale possibilità non è espressam</w:t>
            </w:r>
            <w:r>
              <w:rPr>
                <w:rFonts w:ascii="PT Sans" w:hAnsi="PT Sans"/>
                <w:bCs/>
                <w:sz w:val="20"/>
              </w:rPr>
              <w:t>ente prevista nel D.I. 213/2017</w:t>
            </w:r>
          </w:p>
        </w:tc>
      </w:tr>
      <w:tr w:rsidR="00AB42BA" w:rsidRPr="00C24484" w:rsidTr="006D664E">
        <w:tc>
          <w:tcPr>
            <w:tcW w:w="2410" w:type="dxa"/>
            <w:shd w:val="clear" w:color="auto" w:fill="auto"/>
          </w:tcPr>
          <w:p w:rsidR="00AB42BA" w:rsidRPr="00C24484" w:rsidRDefault="00AB42BA" w:rsidP="006D664E">
            <w:pPr>
              <w:pStyle w:val="corpotestoinformativa"/>
              <w:spacing w:line="320" w:lineRule="exact"/>
              <w:rPr>
                <w:rFonts w:ascii="PT Sans" w:hAnsi="PT Sans"/>
                <w:bCs/>
                <w:sz w:val="20"/>
              </w:rPr>
            </w:pPr>
            <w:r w:rsidRPr="00C24484">
              <w:rPr>
                <w:rFonts w:ascii="PT Sans" w:hAnsi="PT Sans"/>
                <w:bCs/>
                <w:sz w:val="20"/>
              </w:rPr>
              <w:t>Ace</w:t>
            </w:r>
          </w:p>
        </w:tc>
        <w:tc>
          <w:tcPr>
            <w:tcW w:w="7260" w:type="dxa"/>
            <w:shd w:val="clear" w:color="auto" w:fill="auto"/>
          </w:tcPr>
          <w:p w:rsidR="00AB42BA" w:rsidRPr="00C24484" w:rsidRDefault="00AB42BA" w:rsidP="006D664E">
            <w:pPr>
              <w:pStyle w:val="corpotestoinformativa"/>
              <w:spacing w:line="320" w:lineRule="exact"/>
              <w:rPr>
                <w:rFonts w:ascii="PT Sans" w:hAnsi="PT Sans"/>
                <w:bCs/>
                <w:sz w:val="20"/>
              </w:rPr>
            </w:pPr>
            <w:r w:rsidRPr="00C24484">
              <w:rPr>
                <w:rFonts w:ascii="PT Sans" w:hAnsi="PT Sans"/>
                <w:bCs/>
                <w:sz w:val="20"/>
              </w:rPr>
              <w:t xml:space="preserve">Non è possibile, in caso di consolidato fiscale in cui partecipa una società agricola che determina il reddito secondo le regole di cui all’articolo 32, Tuir, utilizzare l’eccedenza Ace generata dalla controllante in abbattimento del reddito complessivo netto globale di gruppo, infatti, se così fosse, fruirebbe della deduzione Ace anche il reddito della società agricola confluito nella </w:t>
            </w:r>
            <w:r w:rsidRPr="00C24484">
              <w:rPr>
                <w:rFonts w:ascii="PT Sans" w:hAnsi="PT Sans"/>
                <w:bCs/>
                <w:i/>
                <w:sz w:val="20"/>
              </w:rPr>
              <w:t>fiscal unit</w:t>
            </w:r>
            <w:r w:rsidRPr="00C24484">
              <w:rPr>
                <w:rFonts w:ascii="PT Sans" w:hAnsi="PT Sans"/>
                <w:bCs/>
                <w:sz w:val="20"/>
              </w:rPr>
              <w:t>, circostanza espressamente vietata dall’articolo 9, comma 1, D.M. 3 agosto 2017.</w:t>
            </w:r>
          </w:p>
          <w:p w:rsidR="00AB42BA" w:rsidRPr="00C24484" w:rsidRDefault="00AB42BA" w:rsidP="006D664E">
            <w:pPr>
              <w:pStyle w:val="corpotestoinformativa"/>
              <w:spacing w:line="320" w:lineRule="exact"/>
              <w:rPr>
                <w:rFonts w:ascii="PT Sans" w:hAnsi="PT Sans"/>
                <w:bCs/>
                <w:sz w:val="20"/>
              </w:rPr>
            </w:pPr>
            <w:r w:rsidRPr="00C24484">
              <w:rPr>
                <w:rFonts w:ascii="PT Sans" w:hAnsi="PT Sans"/>
                <w:bCs/>
                <w:sz w:val="20"/>
              </w:rPr>
              <w:t>A tal fine, per determinare l’eventuale capienza del reddito complessivo globale rispetto alla deduzione Ace, lo stesso dovrà essere nettizzato della parte afferente la società agricola. Il reddito così determinato rappresenta, inoltre, la base di calcolo per determinare l’eventuale eccedenza non attribuita al consolidato dalle singole società del gruppo, che potrà essere utilizzata in deduzione nell’esercizio successivo o in compensazione dell’Irap ai sensi dell’articolo</w:t>
            </w:r>
            <w:r>
              <w:rPr>
                <w:rFonts w:ascii="PT Sans" w:hAnsi="PT Sans"/>
                <w:bCs/>
                <w:sz w:val="20"/>
              </w:rPr>
              <w:t xml:space="preserve"> 6, comma 1, D.M. 3 agosto 2018</w:t>
            </w:r>
          </w:p>
        </w:tc>
      </w:tr>
    </w:tbl>
    <w:p w:rsidR="00AB42BA" w:rsidRPr="00301148" w:rsidRDefault="00AB42BA" w:rsidP="00AB42BA">
      <w:pPr>
        <w:pStyle w:val="corpotestoinformativa"/>
        <w:rPr>
          <w:rFonts w:ascii="PT Sans" w:hAnsi="PT Sans"/>
        </w:rPr>
      </w:pPr>
    </w:p>
    <w:p w:rsidR="00AB42BA" w:rsidRPr="00301148" w:rsidRDefault="00AB42BA" w:rsidP="00AB42BA">
      <w:pPr>
        <w:pStyle w:val="corpotestoinformativa"/>
        <w:rPr>
          <w:rFonts w:ascii="PT Sans" w:hAnsi="PT Sans"/>
        </w:rPr>
      </w:pPr>
    </w:p>
    <w:p w:rsidR="00AB42BA" w:rsidRPr="00301148" w:rsidRDefault="00AB42BA" w:rsidP="00AB42BA">
      <w:pPr>
        <w:jc w:val="both"/>
        <w:rPr>
          <w:rFonts w:ascii="PT Sans" w:hAnsi="PT Sans" w:cs="Arial"/>
          <w:sz w:val="10"/>
          <w:szCs w:val="10"/>
          <w:u w:val="single"/>
        </w:rPr>
      </w:pPr>
      <w:r w:rsidRPr="00301148">
        <w:rPr>
          <w:rFonts w:ascii="PT Sans" w:hAnsi="PT Sans"/>
        </w:rPr>
        <w:br w:type="page"/>
      </w:r>
    </w:p>
    <w:p w:rsidR="00AB42BA" w:rsidRDefault="00AB42BA" w:rsidP="00AB42BA">
      <w:pPr>
        <w:pStyle w:val="corpotestoinformativa"/>
      </w:pPr>
    </w:p>
    <w:p w:rsidR="00AB42BA" w:rsidRDefault="00AB42BA" w:rsidP="00AB42BA">
      <w:pPr>
        <w:pStyle w:val="titoloinformativa"/>
        <w:spacing w:line="320" w:lineRule="exact"/>
        <w:rPr>
          <w:rFonts w:ascii="PT Sans" w:hAnsi="PT Sans"/>
          <w:szCs w:val="22"/>
        </w:rPr>
      </w:pPr>
      <w:r>
        <w:rPr>
          <w:rFonts w:ascii="PT Sans" w:hAnsi="PT Sans"/>
          <w:szCs w:val="22"/>
        </w:rPr>
        <w:t>NEL CASO DI CONTRATTI DI LOCAZIONE AD USO ABITATIVO “NON ASSISTITI” VIGE L’OBBLIGO DI ACQUISIRE APPOSITA ATTESTAZIONE DELL’ACCORDO</w:t>
      </w:r>
    </w:p>
    <w:p w:rsidR="00AB42BA" w:rsidRPr="00D92A78" w:rsidRDefault="00AB42BA" w:rsidP="00AB42BA">
      <w:pPr>
        <w:pStyle w:val="titoloinformativa"/>
        <w:spacing w:line="320" w:lineRule="exact"/>
        <w:jc w:val="left"/>
        <w:rPr>
          <w:rFonts w:ascii="PT Sans" w:hAnsi="PT Sans" w:cs="Arial"/>
          <w:b w:val="0"/>
          <w:sz w:val="22"/>
        </w:rPr>
      </w:pPr>
    </w:p>
    <w:p w:rsidR="00AB42BA" w:rsidRPr="00D92A78" w:rsidRDefault="00AB42BA" w:rsidP="00AB42BA">
      <w:pPr>
        <w:spacing w:line="320" w:lineRule="exact"/>
        <w:rPr>
          <w:rFonts w:ascii="PT Sans" w:hAnsi="PT Sans" w:cs="Arial"/>
          <w:szCs w:val="22"/>
        </w:rPr>
      </w:pPr>
    </w:p>
    <w:p w:rsidR="00AB42BA" w:rsidRDefault="00AB42BA" w:rsidP="00AB42BA">
      <w:pPr>
        <w:pStyle w:val="corpotestoinformativa"/>
        <w:spacing w:line="320" w:lineRule="exact"/>
        <w:rPr>
          <w:rFonts w:ascii="PT Sans" w:hAnsi="PT Sans"/>
        </w:rPr>
      </w:pPr>
      <w:r w:rsidRPr="0088349D">
        <w:rPr>
          <w:rFonts w:ascii="PT Sans" w:hAnsi="PT Sans"/>
        </w:rPr>
        <w:t>In risposta a specifico interpello l’Agenzia delle entrate</w:t>
      </w:r>
      <w:r>
        <w:rPr>
          <w:rFonts w:ascii="PT Sans" w:hAnsi="PT Sans"/>
        </w:rPr>
        <w:t>,</w:t>
      </w:r>
      <w:r w:rsidRPr="0088349D">
        <w:rPr>
          <w:rFonts w:ascii="PT Sans" w:hAnsi="PT Sans"/>
        </w:rPr>
        <w:t xml:space="preserve"> con </w:t>
      </w:r>
      <w:r w:rsidRPr="00790350">
        <w:rPr>
          <w:rFonts w:ascii="PT Sans" w:hAnsi="PT Sans"/>
          <w:b/>
        </w:rPr>
        <w:t>risoluzione n.</w:t>
      </w:r>
      <w:r>
        <w:rPr>
          <w:rFonts w:ascii="PT Sans" w:hAnsi="PT Sans"/>
          <w:b/>
        </w:rPr>
        <w:t xml:space="preserve"> </w:t>
      </w:r>
      <w:r w:rsidRPr="00790350">
        <w:rPr>
          <w:rFonts w:ascii="PT Sans" w:hAnsi="PT Sans"/>
          <w:b/>
        </w:rPr>
        <w:t>31 del 20 aprile 2018</w:t>
      </w:r>
      <w:r>
        <w:rPr>
          <w:rFonts w:ascii="PT Sans" w:hAnsi="PT Sans"/>
          <w:b/>
        </w:rPr>
        <w:t>,</w:t>
      </w:r>
      <w:r w:rsidRPr="0088349D">
        <w:rPr>
          <w:rFonts w:ascii="PT Sans" w:hAnsi="PT Sans"/>
        </w:rPr>
        <w:t xml:space="preserve"> ha chiarito la portata dell’art</w:t>
      </w:r>
      <w:r>
        <w:rPr>
          <w:rFonts w:ascii="PT Sans" w:hAnsi="PT Sans"/>
        </w:rPr>
        <w:t>icolo</w:t>
      </w:r>
      <w:r w:rsidRPr="0088349D">
        <w:rPr>
          <w:rFonts w:ascii="PT Sans" w:hAnsi="PT Sans"/>
        </w:rPr>
        <w:t xml:space="preserve"> </w:t>
      </w:r>
      <w:r w:rsidRPr="00B17E24">
        <w:rPr>
          <w:rFonts w:ascii="PT Sans" w:hAnsi="PT Sans"/>
        </w:rPr>
        <w:t xml:space="preserve">1, comma 8, del decreto </w:t>
      </w:r>
      <w:r w:rsidRPr="0088349D">
        <w:rPr>
          <w:rFonts w:ascii="PT Sans" w:hAnsi="PT Sans"/>
        </w:rPr>
        <w:t xml:space="preserve">16 gennaio 2017, il quale </w:t>
      </w:r>
      <w:r>
        <w:rPr>
          <w:rFonts w:ascii="PT Sans" w:hAnsi="PT Sans"/>
        </w:rPr>
        <w:t xml:space="preserve">ha </w:t>
      </w:r>
      <w:r w:rsidRPr="0088349D">
        <w:rPr>
          <w:rFonts w:ascii="PT Sans" w:hAnsi="PT Sans"/>
        </w:rPr>
        <w:t>stabili</w:t>
      </w:r>
      <w:r>
        <w:rPr>
          <w:rFonts w:ascii="PT Sans" w:hAnsi="PT Sans"/>
        </w:rPr>
        <w:t>to</w:t>
      </w:r>
      <w:r w:rsidRPr="0088349D">
        <w:rPr>
          <w:rFonts w:ascii="PT Sans" w:hAnsi="PT Sans"/>
        </w:rPr>
        <w:t xml:space="preserve"> </w:t>
      </w:r>
      <w:r w:rsidRPr="00B17E24">
        <w:rPr>
          <w:rFonts w:ascii="PT Sans" w:hAnsi="PT Sans"/>
        </w:rPr>
        <w:t>che</w:t>
      </w:r>
      <w:r w:rsidRPr="0088349D">
        <w:rPr>
          <w:rFonts w:ascii="PT Sans" w:hAnsi="PT Sans"/>
        </w:rPr>
        <w:t>:</w:t>
      </w:r>
    </w:p>
    <w:p w:rsidR="00AB42BA" w:rsidRDefault="00AB42BA" w:rsidP="00AB42BA">
      <w:pPr>
        <w:pStyle w:val="corpotestoinformativa"/>
        <w:spacing w:line="220" w:lineRule="exact"/>
        <w:rPr>
          <w:rFonts w:ascii="PT Sans" w:hAnsi="PT Sans"/>
        </w:rPr>
      </w:pPr>
    </w:p>
    <w:tbl>
      <w:tblPr>
        <w:tblW w:w="0" w:type="auto"/>
        <w:tblInd w:w="108" w:type="dxa"/>
        <w:tblBorders>
          <w:top w:val="single" w:sz="4" w:space="0" w:color="006EB7"/>
          <w:left w:val="single" w:sz="4" w:space="0" w:color="006EB7"/>
          <w:bottom w:val="single" w:sz="4" w:space="0" w:color="006EB7"/>
          <w:right w:val="single" w:sz="4" w:space="0" w:color="006EB7"/>
          <w:insideH w:val="single" w:sz="4" w:space="0" w:color="006EB7"/>
          <w:insideV w:val="single" w:sz="4" w:space="0" w:color="006EB7"/>
        </w:tblBorders>
        <w:shd w:val="clear" w:color="auto" w:fill="FFFFFF"/>
        <w:tblLook w:val="04A0" w:firstRow="1" w:lastRow="0" w:firstColumn="1" w:lastColumn="0" w:noHBand="0" w:noVBand="1"/>
      </w:tblPr>
      <w:tblGrid>
        <w:gridCol w:w="9670"/>
      </w:tblGrid>
      <w:tr w:rsidR="00AB42BA" w:rsidTr="006D664E">
        <w:tc>
          <w:tcPr>
            <w:tcW w:w="9670" w:type="dxa"/>
            <w:shd w:val="clear" w:color="auto" w:fill="FFFFFF"/>
          </w:tcPr>
          <w:p w:rsidR="00AB42BA" w:rsidRPr="00077FE1" w:rsidRDefault="00AB42BA" w:rsidP="00BB6277">
            <w:pPr>
              <w:pStyle w:val="corpotestoinformativa"/>
              <w:numPr>
                <w:ilvl w:val="0"/>
                <w:numId w:val="23"/>
              </w:numPr>
              <w:spacing w:line="320" w:lineRule="exact"/>
              <w:rPr>
                <w:rFonts w:ascii="PT Sans" w:hAnsi="PT Sans"/>
              </w:rPr>
            </w:pPr>
            <w:r w:rsidRPr="00077FE1">
              <w:rPr>
                <w:rFonts w:ascii="PT Sans" w:hAnsi="PT Sans"/>
              </w:rPr>
              <w:t>le parti di un contratto di locazione ad uso abitativo a canone concordato, ai sensi dell'articolo 2, comma 3, L. 431/98, possono farsi assistere nella definizione del canone effettivo dalle rispettive organizzazioni della proprietà edilizia e dei conduttori</w:t>
            </w:r>
          </w:p>
        </w:tc>
      </w:tr>
      <w:tr w:rsidR="00AB42BA" w:rsidTr="006D664E">
        <w:tc>
          <w:tcPr>
            <w:tcW w:w="9670" w:type="dxa"/>
            <w:shd w:val="clear" w:color="auto" w:fill="FFFFFF"/>
          </w:tcPr>
          <w:p w:rsidR="00AB42BA" w:rsidRPr="00077FE1" w:rsidRDefault="00AB42BA" w:rsidP="00BB6277">
            <w:pPr>
              <w:pStyle w:val="corpotestoinformativa"/>
              <w:numPr>
                <w:ilvl w:val="0"/>
                <w:numId w:val="23"/>
              </w:numPr>
              <w:spacing w:line="320" w:lineRule="exact"/>
              <w:rPr>
                <w:rFonts w:ascii="PT Sans" w:hAnsi="PT Sans"/>
              </w:rPr>
            </w:pPr>
            <w:r w:rsidRPr="00077FE1">
              <w:rPr>
                <w:rFonts w:ascii="PT Sans" w:hAnsi="PT Sans"/>
              </w:rPr>
              <w:t>per i contratti ‘non assistiti’, le parti sono tenute ad acquisire un’attestazione, rilasciata da almeno una delle organizzazioni rappresentative della proprietà edilizia e dei conduttori, secondo le modalità definite sulla base di accordi stipulati in sede locale, con la quale appurare la rispondenza del contenuto economico e normativo del contratto all’accordo stesso, attestazione avente valenza anche con riguardo alle agevolazioni fiscali</w:t>
            </w:r>
          </w:p>
        </w:tc>
      </w:tr>
    </w:tbl>
    <w:p w:rsidR="00AB42BA" w:rsidRPr="0088349D" w:rsidRDefault="00AB42BA" w:rsidP="00AB42BA">
      <w:pPr>
        <w:pStyle w:val="corpotestoinformativa"/>
        <w:spacing w:before="120" w:line="320" w:lineRule="exact"/>
        <w:rPr>
          <w:rFonts w:ascii="PT Sans" w:hAnsi="PT Sans"/>
        </w:rPr>
      </w:pPr>
      <w:r w:rsidRPr="0088349D">
        <w:rPr>
          <w:rFonts w:ascii="PT Sans" w:hAnsi="PT Sans"/>
        </w:rPr>
        <w:t>In particolare in risposta all’interpello l’amministrazione ha chiarito se, in relazione ai contratti di locazione non assistiti, l’attestazione debba ritenersi obbligatoria al fine di poter godere delle agevolazioni fiscali e se tale attestazione debba essere allegata al contratto di locazione, in sede di registrazione con assoggettamento ad imposta di registro e ad imposta di bollo.</w:t>
      </w:r>
    </w:p>
    <w:p w:rsidR="00AB42BA" w:rsidRDefault="00AB42BA" w:rsidP="00AB42BA">
      <w:pPr>
        <w:pStyle w:val="corpotestoinformativa"/>
        <w:spacing w:line="320" w:lineRule="exact"/>
        <w:rPr>
          <w:rFonts w:ascii="PT Sans" w:hAnsi="PT Sans"/>
        </w:rPr>
      </w:pPr>
      <w:r w:rsidRPr="0088349D">
        <w:rPr>
          <w:rFonts w:ascii="PT Sans" w:hAnsi="PT Sans"/>
        </w:rPr>
        <w:t xml:space="preserve">In merito </w:t>
      </w:r>
      <w:r>
        <w:rPr>
          <w:rFonts w:ascii="PT Sans" w:hAnsi="PT Sans"/>
        </w:rPr>
        <w:t xml:space="preserve">ai quesiti sopra esposti </w:t>
      </w:r>
      <w:r w:rsidRPr="0088349D">
        <w:rPr>
          <w:rFonts w:ascii="PT Sans" w:hAnsi="PT Sans"/>
        </w:rPr>
        <w:t>l’Agenzia ha affermato che</w:t>
      </w:r>
      <w:r>
        <w:rPr>
          <w:rFonts w:ascii="PT Sans" w:hAnsi="PT Sans"/>
        </w:rPr>
        <w:t>:</w:t>
      </w:r>
    </w:p>
    <w:p w:rsidR="00AB42BA" w:rsidRPr="0088349D" w:rsidRDefault="00AB42BA" w:rsidP="00BB6277">
      <w:pPr>
        <w:pStyle w:val="corpotestoinformativa"/>
        <w:numPr>
          <w:ilvl w:val="0"/>
          <w:numId w:val="24"/>
        </w:numPr>
        <w:tabs>
          <w:tab w:val="left" w:pos="284"/>
        </w:tabs>
        <w:spacing w:line="320" w:lineRule="exact"/>
        <w:ind w:left="284" w:hanging="284"/>
        <w:rPr>
          <w:rFonts w:ascii="PT Sans" w:hAnsi="PT Sans"/>
        </w:rPr>
      </w:pPr>
      <w:r w:rsidRPr="0088349D">
        <w:rPr>
          <w:rFonts w:ascii="PT Sans" w:hAnsi="PT Sans"/>
        </w:rPr>
        <w:t>ai fini dell</w:t>
      </w:r>
      <w:r>
        <w:rPr>
          <w:rFonts w:ascii="PT Sans" w:hAnsi="PT Sans"/>
        </w:rPr>
        <w:t>a</w:t>
      </w:r>
      <w:r w:rsidRPr="0088349D">
        <w:rPr>
          <w:rFonts w:ascii="PT Sans" w:hAnsi="PT Sans"/>
        </w:rPr>
        <w:t xml:space="preserve"> fruizione delle agevolazioni fiscali l’acquisizione dell’attestazione costituisce elemento necessario ai fini del loro riconoscimento</w:t>
      </w:r>
      <w:r>
        <w:rPr>
          <w:rFonts w:ascii="PT Sans" w:hAnsi="PT Sans"/>
        </w:rPr>
        <w:t>,</w:t>
      </w:r>
    </w:p>
    <w:p w:rsidR="00AB42BA" w:rsidRDefault="00AB42BA" w:rsidP="00BB6277">
      <w:pPr>
        <w:pStyle w:val="corpotestoinformativa"/>
        <w:numPr>
          <w:ilvl w:val="0"/>
          <w:numId w:val="24"/>
        </w:numPr>
        <w:tabs>
          <w:tab w:val="left" w:pos="284"/>
        </w:tabs>
        <w:spacing w:after="120" w:line="320" w:lineRule="exact"/>
        <w:ind w:left="284" w:hanging="284"/>
        <w:rPr>
          <w:rFonts w:ascii="PT Sans" w:hAnsi="PT Sans"/>
        </w:rPr>
      </w:pPr>
      <w:r>
        <w:rPr>
          <w:rFonts w:ascii="PT Sans" w:hAnsi="PT Sans"/>
        </w:rPr>
        <w:t>t</w:t>
      </w:r>
      <w:r w:rsidRPr="0088349D">
        <w:rPr>
          <w:rFonts w:ascii="PT Sans" w:hAnsi="PT Sans"/>
        </w:rPr>
        <w:t>uttavia tale attestazione non risulta obbligatoria qualora i contratti di locazione siano stipulati prima dell’entrata in vigore del decreto</w:t>
      </w:r>
      <w:r>
        <w:rPr>
          <w:rFonts w:ascii="PT Sans" w:hAnsi="PT Sans"/>
        </w:rPr>
        <w:t>,</w:t>
      </w:r>
      <w:r w:rsidRPr="0088349D">
        <w:rPr>
          <w:rFonts w:ascii="PT Sans" w:hAnsi="PT Sans"/>
        </w:rPr>
        <w:t xml:space="preserve"> ovvero successivamente</w:t>
      </w:r>
      <w:r>
        <w:rPr>
          <w:rFonts w:ascii="PT Sans" w:hAnsi="PT Sans"/>
        </w:rPr>
        <w:t>,</w:t>
      </w:r>
      <w:r w:rsidRPr="0088349D">
        <w:rPr>
          <w:rFonts w:ascii="PT Sans" w:hAnsi="PT Sans"/>
        </w:rPr>
        <w:t xml:space="preserve"> ma in assenza di Accordi territoriali stipulati dalle Organizzazioni Sindacali e dalle Associazioni degli inquilini e dei proprietari di immobili che hanno recepito le previsioni dettate dal citato decreto.</w:t>
      </w:r>
    </w:p>
    <w:tbl>
      <w:tblPr>
        <w:tblW w:w="0" w:type="auto"/>
        <w:tblInd w:w="108" w:type="dxa"/>
        <w:tblBorders>
          <w:top w:val="single" w:sz="4" w:space="0" w:color="006EB7"/>
          <w:left w:val="single" w:sz="4" w:space="0" w:color="006EB7"/>
          <w:bottom w:val="single" w:sz="4" w:space="0" w:color="006EB7"/>
          <w:right w:val="single" w:sz="4" w:space="0" w:color="006EB7"/>
          <w:insideH w:val="single" w:sz="4" w:space="0" w:color="006EB7"/>
          <w:insideV w:val="single" w:sz="4" w:space="0" w:color="006EB7"/>
        </w:tblBorders>
        <w:tblLook w:val="04A0" w:firstRow="1" w:lastRow="0" w:firstColumn="1" w:lastColumn="0" w:noHBand="0" w:noVBand="1"/>
      </w:tblPr>
      <w:tblGrid>
        <w:gridCol w:w="1701"/>
        <w:gridCol w:w="7969"/>
      </w:tblGrid>
      <w:tr w:rsidR="00AB42BA" w:rsidTr="006D664E">
        <w:tc>
          <w:tcPr>
            <w:tcW w:w="1701" w:type="dxa"/>
            <w:shd w:val="clear" w:color="auto" w:fill="B2D3E9"/>
          </w:tcPr>
          <w:p w:rsidR="00AB42BA" w:rsidRPr="00077FE1" w:rsidRDefault="00AB42BA" w:rsidP="006D664E">
            <w:pPr>
              <w:pStyle w:val="corpotestoinformativa"/>
              <w:spacing w:line="320" w:lineRule="exact"/>
              <w:rPr>
                <w:rFonts w:ascii="PT Sans" w:hAnsi="PT Sans"/>
              </w:rPr>
            </w:pPr>
            <w:r w:rsidRPr="00077FE1">
              <w:rPr>
                <w:rFonts w:ascii="PT Sans" w:hAnsi="PT Sans"/>
              </w:rPr>
              <w:t>attestazione</w:t>
            </w:r>
          </w:p>
        </w:tc>
        <w:tc>
          <w:tcPr>
            <w:tcW w:w="7969" w:type="dxa"/>
            <w:shd w:val="clear" w:color="auto" w:fill="auto"/>
          </w:tcPr>
          <w:p w:rsidR="00AB42BA" w:rsidRPr="00077FE1" w:rsidRDefault="00AB42BA" w:rsidP="006D664E">
            <w:pPr>
              <w:pStyle w:val="corpotestoinformativa"/>
              <w:spacing w:line="320" w:lineRule="exact"/>
              <w:rPr>
                <w:rFonts w:ascii="PT Sans" w:hAnsi="PT Sans"/>
              </w:rPr>
            </w:pPr>
            <w:r w:rsidRPr="00077FE1">
              <w:rPr>
                <w:rFonts w:ascii="PT Sans" w:hAnsi="PT Sans"/>
              </w:rPr>
              <w:t>obbligatoria</w:t>
            </w:r>
          </w:p>
        </w:tc>
      </w:tr>
      <w:tr w:rsidR="00AB42BA" w:rsidTr="006D664E">
        <w:tc>
          <w:tcPr>
            <w:tcW w:w="1701" w:type="dxa"/>
            <w:vMerge w:val="restart"/>
            <w:shd w:val="clear" w:color="auto" w:fill="B2D3E9"/>
          </w:tcPr>
          <w:p w:rsidR="00AB42BA" w:rsidRPr="00077FE1" w:rsidRDefault="00AB42BA" w:rsidP="006D664E">
            <w:pPr>
              <w:pStyle w:val="corpotestoinformativa"/>
              <w:spacing w:line="320" w:lineRule="exact"/>
              <w:rPr>
                <w:rFonts w:ascii="PT Sans" w:hAnsi="PT Sans"/>
              </w:rPr>
            </w:pPr>
            <w:r w:rsidRPr="00077FE1">
              <w:rPr>
                <w:rFonts w:ascii="PT Sans" w:hAnsi="PT Sans"/>
              </w:rPr>
              <w:t xml:space="preserve">deroga </w:t>
            </w:r>
          </w:p>
        </w:tc>
        <w:tc>
          <w:tcPr>
            <w:tcW w:w="7969" w:type="dxa"/>
            <w:shd w:val="clear" w:color="auto" w:fill="auto"/>
          </w:tcPr>
          <w:p w:rsidR="00AB42BA" w:rsidRPr="00077FE1" w:rsidRDefault="00AB42BA" w:rsidP="006D664E">
            <w:pPr>
              <w:pStyle w:val="corpotestoinformativa"/>
              <w:spacing w:line="320" w:lineRule="exact"/>
              <w:rPr>
                <w:rFonts w:ascii="PT Sans" w:hAnsi="PT Sans"/>
              </w:rPr>
            </w:pPr>
            <w:r w:rsidRPr="005A4D97">
              <w:rPr>
                <w:rFonts w:ascii="PT Sans" w:hAnsi="PT Sans"/>
              </w:rPr>
              <w:t xml:space="preserve">attestazione </w:t>
            </w:r>
            <w:r w:rsidRPr="00077FE1">
              <w:rPr>
                <w:rFonts w:ascii="PT Sans" w:hAnsi="PT Sans"/>
              </w:rPr>
              <w:t>non obbligatoria:</w:t>
            </w:r>
          </w:p>
        </w:tc>
      </w:tr>
      <w:tr w:rsidR="00AB42BA" w:rsidTr="006D664E">
        <w:tc>
          <w:tcPr>
            <w:tcW w:w="1701" w:type="dxa"/>
            <w:vMerge/>
            <w:shd w:val="clear" w:color="auto" w:fill="B2D3E9"/>
          </w:tcPr>
          <w:p w:rsidR="00AB42BA" w:rsidRPr="00077FE1" w:rsidRDefault="00AB42BA" w:rsidP="006D664E">
            <w:pPr>
              <w:pStyle w:val="corpotestoinformativa"/>
              <w:spacing w:line="320" w:lineRule="exact"/>
              <w:rPr>
                <w:rFonts w:ascii="PT Sans" w:hAnsi="PT Sans"/>
              </w:rPr>
            </w:pPr>
          </w:p>
        </w:tc>
        <w:tc>
          <w:tcPr>
            <w:tcW w:w="7969" w:type="dxa"/>
            <w:shd w:val="clear" w:color="auto" w:fill="auto"/>
          </w:tcPr>
          <w:p w:rsidR="00AB42BA" w:rsidRPr="00077FE1" w:rsidRDefault="00AB42BA" w:rsidP="00BB6277">
            <w:pPr>
              <w:pStyle w:val="corpotestoinformativa"/>
              <w:numPr>
                <w:ilvl w:val="0"/>
                <w:numId w:val="22"/>
              </w:numPr>
              <w:spacing w:line="320" w:lineRule="exact"/>
              <w:ind w:left="459" w:hanging="420"/>
              <w:rPr>
                <w:rFonts w:ascii="PT Sans" w:hAnsi="PT Sans"/>
                <w:spacing w:val="-4"/>
              </w:rPr>
            </w:pPr>
            <w:r w:rsidRPr="00077FE1">
              <w:rPr>
                <w:rFonts w:ascii="PT Sans" w:hAnsi="PT Sans"/>
                <w:spacing w:val="-4"/>
              </w:rPr>
              <w:t>se contratti di locazione siano stipulati prima dell’entrata in vigore del decreto</w:t>
            </w:r>
          </w:p>
        </w:tc>
      </w:tr>
      <w:tr w:rsidR="00AB42BA" w:rsidTr="006D664E">
        <w:tc>
          <w:tcPr>
            <w:tcW w:w="1701" w:type="dxa"/>
            <w:vMerge/>
            <w:shd w:val="clear" w:color="auto" w:fill="B2D3E9"/>
          </w:tcPr>
          <w:p w:rsidR="00AB42BA" w:rsidRPr="00077FE1" w:rsidRDefault="00AB42BA" w:rsidP="006D664E">
            <w:pPr>
              <w:pStyle w:val="corpotestoinformativa"/>
              <w:spacing w:line="320" w:lineRule="exact"/>
              <w:rPr>
                <w:rFonts w:ascii="PT Sans" w:hAnsi="PT Sans"/>
              </w:rPr>
            </w:pPr>
          </w:p>
        </w:tc>
        <w:tc>
          <w:tcPr>
            <w:tcW w:w="7969" w:type="dxa"/>
            <w:shd w:val="clear" w:color="auto" w:fill="auto"/>
          </w:tcPr>
          <w:p w:rsidR="00AB42BA" w:rsidRPr="00077FE1" w:rsidRDefault="00AB42BA" w:rsidP="00BB6277">
            <w:pPr>
              <w:pStyle w:val="corpotestoinformativa"/>
              <w:numPr>
                <w:ilvl w:val="0"/>
                <w:numId w:val="22"/>
              </w:numPr>
              <w:spacing w:line="320" w:lineRule="exact"/>
              <w:ind w:left="459" w:hanging="420"/>
              <w:rPr>
                <w:rFonts w:ascii="PT Sans" w:hAnsi="PT Sans"/>
              </w:rPr>
            </w:pPr>
            <w:r w:rsidRPr="00077FE1">
              <w:rPr>
                <w:rFonts w:ascii="PT Sans" w:hAnsi="PT Sans"/>
              </w:rPr>
              <w:t>in assenza di Accordi territoriali</w:t>
            </w:r>
          </w:p>
        </w:tc>
      </w:tr>
    </w:tbl>
    <w:p w:rsidR="00AB42BA" w:rsidRPr="0088349D" w:rsidRDefault="00AB42BA" w:rsidP="00AB42BA">
      <w:pPr>
        <w:pStyle w:val="corpotestoinformativa"/>
        <w:spacing w:line="320" w:lineRule="exact"/>
        <w:rPr>
          <w:rFonts w:ascii="PT Sans" w:hAnsi="PT Sans"/>
        </w:rPr>
      </w:pPr>
    </w:p>
    <w:p w:rsidR="00AB42BA" w:rsidRPr="0088349D" w:rsidRDefault="00AB42BA" w:rsidP="00AB42BA">
      <w:pPr>
        <w:pStyle w:val="corpotestoinformativa"/>
        <w:spacing w:line="320" w:lineRule="exact"/>
        <w:rPr>
          <w:rFonts w:ascii="PT Sans" w:hAnsi="PT Sans"/>
        </w:rPr>
      </w:pPr>
      <w:r w:rsidRPr="0088349D">
        <w:rPr>
          <w:rFonts w:ascii="PT Sans" w:hAnsi="PT Sans"/>
        </w:rPr>
        <w:t xml:space="preserve">In merito alla registrazione dell’attestazione l’Agenzia ha chiarito che non esiste nessun obbligo in tal senso, tuttavia l’allegazione in sede di registrazione potrebbe apparire opportuna al fine di documentare la sussistenza dei requisiti </w:t>
      </w:r>
      <w:r>
        <w:rPr>
          <w:rFonts w:ascii="PT Sans" w:hAnsi="PT Sans"/>
        </w:rPr>
        <w:t>per l’</w:t>
      </w:r>
      <w:r w:rsidRPr="0088349D">
        <w:rPr>
          <w:rFonts w:ascii="PT Sans" w:hAnsi="PT Sans"/>
        </w:rPr>
        <w:t>agevolazione in tema di imposta di registro (base imponibile pari al 70% del corrispettivo annuo).</w:t>
      </w:r>
    </w:p>
    <w:p w:rsidR="00AB42BA" w:rsidRPr="0088349D" w:rsidRDefault="00AB42BA" w:rsidP="00AB42BA">
      <w:pPr>
        <w:pStyle w:val="corpotestoinformativa"/>
        <w:spacing w:line="320" w:lineRule="exact"/>
        <w:rPr>
          <w:rFonts w:ascii="PT Sans" w:hAnsi="PT Sans"/>
        </w:rPr>
      </w:pPr>
    </w:p>
    <w:p w:rsidR="00AB42BA" w:rsidRPr="0088349D" w:rsidRDefault="00AB42BA" w:rsidP="00AB42BA">
      <w:pPr>
        <w:pStyle w:val="corpotestoinformativa"/>
        <w:spacing w:line="320" w:lineRule="exact"/>
        <w:rPr>
          <w:rFonts w:ascii="PT Sans" w:hAnsi="PT Sans"/>
        </w:rPr>
      </w:pPr>
      <w:r>
        <w:rPr>
          <w:rFonts w:ascii="PT Sans" w:hAnsi="PT Sans"/>
        </w:rPr>
        <w:t xml:space="preserve">Infine, </w:t>
      </w:r>
      <w:r w:rsidRPr="0088349D">
        <w:rPr>
          <w:rFonts w:ascii="PT Sans" w:hAnsi="PT Sans"/>
        </w:rPr>
        <w:t>prosegu</w:t>
      </w:r>
      <w:r>
        <w:rPr>
          <w:rFonts w:ascii="PT Sans" w:hAnsi="PT Sans"/>
        </w:rPr>
        <w:t xml:space="preserve">e l’Agenzia, nel caso in cui l’attestazione venga depositata essa </w:t>
      </w:r>
      <w:r w:rsidRPr="0088349D">
        <w:rPr>
          <w:rFonts w:ascii="PT Sans" w:hAnsi="PT Sans"/>
        </w:rPr>
        <w:t>non sarà oggetto di autonoma imposizione tributaria ai fini del registr</w:t>
      </w:r>
      <w:r>
        <w:rPr>
          <w:rFonts w:ascii="PT Sans" w:hAnsi="PT Sans"/>
        </w:rPr>
        <w:t>o</w:t>
      </w:r>
      <w:r w:rsidRPr="0088349D">
        <w:rPr>
          <w:rFonts w:ascii="PT Sans" w:hAnsi="PT Sans"/>
        </w:rPr>
        <w:t xml:space="preserve"> trattandosi di atto per il quale non vige l’obbligo della registrazione.</w:t>
      </w:r>
      <w:r>
        <w:rPr>
          <w:rFonts w:ascii="PT Sans" w:hAnsi="PT Sans"/>
        </w:rPr>
        <w:t xml:space="preserve"> </w:t>
      </w:r>
      <w:r w:rsidRPr="0088349D">
        <w:rPr>
          <w:rFonts w:ascii="PT Sans" w:hAnsi="PT Sans"/>
        </w:rPr>
        <w:t>In relazione all’imposta di bollo tale attestazione è da intendersi esente.</w:t>
      </w:r>
    </w:p>
    <w:p w:rsidR="00AB42BA" w:rsidRDefault="00AB42BA" w:rsidP="00AB42BA">
      <w:pPr>
        <w:pStyle w:val="Default"/>
        <w:spacing w:line="320" w:lineRule="exact"/>
      </w:pPr>
    </w:p>
    <w:tbl>
      <w:tblPr>
        <w:tblW w:w="0" w:type="auto"/>
        <w:tblInd w:w="136" w:type="dxa"/>
        <w:tblBorders>
          <w:top w:val="single" w:sz="4" w:space="0" w:color="006EB7"/>
          <w:left w:val="single" w:sz="4" w:space="0" w:color="006EB7"/>
          <w:bottom w:val="single" w:sz="4" w:space="0" w:color="006EB7"/>
          <w:right w:val="single" w:sz="4" w:space="0" w:color="006EB7"/>
          <w:insideH w:val="single" w:sz="4" w:space="0" w:color="006EB7"/>
          <w:insideV w:val="single" w:sz="4" w:space="0" w:color="006EB7"/>
        </w:tblBorders>
        <w:tblLook w:val="04A0" w:firstRow="1" w:lastRow="0" w:firstColumn="1" w:lastColumn="0" w:noHBand="0" w:noVBand="1"/>
      </w:tblPr>
      <w:tblGrid>
        <w:gridCol w:w="3497"/>
        <w:gridCol w:w="2850"/>
        <w:gridCol w:w="3371"/>
      </w:tblGrid>
      <w:tr w:rsidR="00AB42BA" w:rsidTr="006D664E">
        <w:tc>
          <w:tcPr>
            <w:tcW w:w="3497" w:type="dxa"/>
            <w:vMerge w:val="restart"/>
            <w:shd w:val="clear" w:color="auto" w:fill="B2D3E9"/>
          </w:tcPr>
          <w:p w:rsidR="00AB42BA" w:rsidRPr="00077FE1" w:rsidRDefault="00AB42BA" w:rsidP="006D664E">
            <w:pPr>
              <w:pStyle w:val="Default"/>
              <w:spacing w:line="320" w:lineRule="exact"/>
              <w:rPr>
                <w:rFonts w:ascii="PT Sans" w:hAnsi="PT Sans"/>
                <w:color w:val="auto"/>
                <w:sz w:val="22"/>
                <w:szCs w:val="20"/>
              </w:rPr>
            </w:pPr>
            <w:r w:rsidRPr="00077FE1">
              <w:rPr>
                <w:rFonts w:ascii="PT Sans" w:hAnsi="PT Sans"/>
                <w:color w:val="auto"/>
                <w:sz w:val="22"/>
                <w:szCs w:val="20"/>
              </w:rPr>
              <w:lastRenderedPageBreak/>
              <w:t>Registrazione</w:t>
            </w:r>
          </w:p>
        </w:tc>
        <w:tc>
          <w:tcPr>
            <w:tcW w:w="6221" w:type="dxa"/>
            <w:gridSpan w:val="2"/>
            <w:shd w:val="clear" w:color="auto" w:fill="B2D3E9"/>
          </w:tcPr>
          <w:p w:rsidR="00AB42BA" w:rsidRPr="00077FE1" w:rsidRDefault="00AB42BA" w:rsidP="006D664E">
            <w:pPr>
              <w:pStyle w:val="Default"/>
              <w:spacing w:line="320" w:lineRule="exact"/>
              <w:rPr>
                <w:rFonts w:ascii="PT Sans" w:hAnsi="PT Sans"/>
                <w:color w:val="auto"/>
                <w:sz w:val="22"/>
                <w:szCs w:val="20"/>
              </w:rPr>
            </w:pPr>
            <w:r w:rsidRPr="00077FE1">
              <w:rPr>
                <w:rFonts w:ascii="PT Sans" w:hAnsi="PT Sans"/>
                <w:color w:val="auto"/>
                <w:sz w:val="22"/>
                <w:szCs w:val="20"/>
              </w:rPr>
              <w:t>Non obbligatoria, se effettuata:</w:t>
            </w:r>
          </w:p>
        </w:tc>
      </w:tr>
      <w:tr w:rsidR="00AB42BA" w:rsidTr="006D664E">
        <w:tc>
          <w:tcPr>
            <w:tcW w:w="3497" w:type="dxa"/>
            <w:vMerge/>
            <w:shd w:val="clear" w:color="auto" w:fill="DEEAF6"/>
          </w:tcPr>
          <w:p w:rsidR="00AB42BA" w:rsidRDefault="00AB42BA" w:rsidP="006D664E">
            <w:pPr>
              <w:pStyle w:val="Default"/>
              <w:spacing w:line="320" w:lineRule="exact"/>
            </w:pPr>
          </w:p>
        </w:tc>
        <w:tc>
          <w:tcPr>
            <w:tcW w:w="2850" w:type="dxa"/>
            <w:shd w:val="clear" w:color="auto" w:fill="auto"/>
          </w:tcPr>
          <w:p w:rsidR="00AB42BA" w:rsidRPr="00077FE1" w:rsidRDefault="00AB42BA" w:rsidP="006D664E">
            <w:pPr>
              <w:pStyle w:val="Default"/>
              <w:spacing w:line="320" w:lineRule="exact"/>
              <w:rPr>
                <w:rFonts w:ascii="PT Sans" w:hAnsi="PT Sans"/>
                <w:color w:val="auto"/>
                <w:sz w:val="22"/>
                <w:szCs w:val="20"/>
              </w:rPr>
            </w:pPr>
            <w:r w:rsidRPr="00077FE1">
              <w:rPr>
                <w:rFonts w:ascii="PT Sans" w:hAnsi="PT Sans"/>
                <w:color w:val="auto"/>
                <w:sz w:val="22"/>
                <w:szCs w:val="20"/>
              </w:rPr>
              <w:t>Imposta di registro</w:t>
            </w:r>
          </w:p>
        </w:tc>
        <w:tc>
          <w:tcPr>
            <w:tcW w:w="3371" w:type="dxa"/>
            <w:shd w:val="clear" w:color="auto" w:fill="auto"/>
          </w:tcPr>
          <w:p w:rsidR="00AB42BA" w:rsidRPr="00077FE1" w:rsidRDefault="00AB42BA" w:rsidP="006D664E">
            <w:pPr>
              <w:pStyle w:val="Default"/>
              <w:spacing w:line="320" w:lineRule="exact"/>
              <w:rPr>
                <w:rFonts w:ascii="PT Sans" w:hAnsi="PT Sans"/>
                <w:color w:val="auto"/>
                <w:sz w:val="22"/>
                <w:szCs w:val="20"/>
              </w:rPr>
            </w:pPr>
            <w:r w:rsidRPr="00077FE1">
              <w:rPr>
                <w:rFonts w:ascii="PT Sans" w:hAnsi="PT Sans"/>
                <w:color w:val="auto"/>
                <w:sz w:val="22"/>
                <w:szCs w:val="20"/>
              </w:rPr>
              <w:t>non dovuta</w:t>
            </w:r>
          </w:p>
        </w:tc>
      </w:tr>
      <w:tr w:rsidR="00AB42BA" w:rsidTr="006D664E">
        <w:tc>
          <w:tcPr>
            <w:tcW w:w="3497" w:type="dxa"/>
            <w:vMerge/>
            <w:shd w:val="clear" w:color="auto" w:fill="DEEAF6"/>
          </w:tcPr>
          <w:p w:rsidR="00AB42BA" w:rsidRDefault="00AB42BA" w:rsidP="006D664E">
            <w:pPr>
              <w:pStyle w:val="Default"/>
              <w:spacing w:line="320" w:lineRule="exact"/>
            </w:pPr>
          </w:p>
        </w:tc>
        <w:tc>
          <w:tcPr>
            <w:tcW w:w="2850" w:type="dxa"/>
            <w:shd w:val="clear" w:color="auto" w:fill="auto"/>
          </w:tcPr>
          <w:p w:rsidR="00AB42BA" w:rsidRPr="00077FE1" w:rsidRDefault="00AB42BA" w:rsidP="006D664E">
            <w:pPr>
              <w:pStyle w:val="Default"/>
              <w:spacing w:line="320" w:lineRule="exact"/>
              <w:rPr>
                <w:rFonts w:ascii="PT Sans" w:hAnsi="PT Sans"/>
                <w:color w:val="auto"/>
                <w:sz w:val="22"/>
                <w:szCs w:val="20"/>
              </w:rPr>
            </w:pPr>
            <w:r w:rsidRPr="00077FE1">
              <w:rPr>
                <w:rFonts w:ascii="PT Sans" w:hAnsi="PT Sans"/>
                <w:color w:val="auto"/>
                <w:sz w:val="22"/>
                <w:szCs w:val="20"/>
              </w:rPr>
              <w:t>Imposta di bollo</w:t>
            </w:r>
          </w:p>
        </w:tc>
        <w:tc>
          <w:tcPr>
            <w:tcW w:w="3371" w:type="dxa"/>
            <w:shd w:val="clear" w:color="auto" w:fill="auto"/>
          </w:tcPr>
          <w:p w:rsidR="00AB42BA" w:rsidRPr="00077FE1" w:rsidRDefault="00AB42BA" w:rsidP="006D664E">
            <w:pPr>
              <w:pStyle w:val="Default"/>
              <w:spacing w:line="320" w:lineRule="exact"/>
              <w:rPr>
                <w:rFonts w:ascii="PT Sans" w:hAnsi="PT Sans"/>
                <w:color w:val="auto"/>
                <w:sz w:val="22"/>
                <w:szCs w:val="20"/>
              </w:rPr>
            </w:pPr>
            <w:r w:rsidRPr="00077FE1">
              <w:rPr>
                <w:rFonts w:ascii="PT Sans" w:hAnsi="PT Sans"/>
                <w:color w:val="auto"/>
                <w:sz w:val="22"/>
                <w:szCs w:val="20"/>
              </w:rPr>
              <w:t>esente</w:t>
            </w:r>
          </w:p>
        </w:tc>
      </w:tr>
    </w:tbl>
    <w:p w:rsidR="00AB42BA" w:rsidRDefault="00AB42BA" w:rsidP="00AB42BA">
      <w:pPr>
        <w:pStyle w:val="corpotestoinformativa"/>
        <w:rPr>
          <w:rFonts w:ascii="PT Sans" w:hAnsi="PT Sans"/>
        </w:rPr>
      </w:pPr>
    </w:p>
    <w:p w:rsidR="00AB42BA" w:rsidRPr="00301148" w:rsidRDefault="00AB42BA" w:rsidP="00AB42BA">
      <w:pPr>
        <w:pStyle w:val="corpotestoinformativa"/>
        <w:rPr>
          <w:rFonts w:ascii="PT Sans" w:hAnsi="PT Sans"/>
        </w:rPr>
      </w:pPr>
    </w:p>
    <w:p w:rsidR="00AB42BA" w:rsidRPr="00301148" w:rsidRDefault="00AB42BA" w:rsidP="00AB42BA">
      <w:pPr>
        <w:jc w:val="both"/>
        <w:rPr>
          <w:rFonts w:ascii="PT Sans" w:hAnsi="PT Sans" w:cs="Arial"/>
          <w:sz w:val="10"/>
          <w:szCs w:val="10"/>
          <w:u w:val="single"/>
        </w:rPr>
      </w:pPr>
    </w:p>
    <w:p w:rsidR="00AB42BA" w:rsidRDefault="003A50ED" w:rsidP="003A50ED">
      <w:pPr>
        <w:pStyle w:val="corpotestoinformativa"/>
        <w:jc w:val="center"/>
        <w:rPr>
          <w:rFonts w:ascii="PT Sans" w:hAnsi="PT Sans"/>
        </w:rPr>
      </w:pPr>
      <w:r>
        <w:rPr>
          <w:rFonts w:ascii="PT Sans" w:hAnsi="PT Sans"/>
        </w:rPr>
        <w:t>**********</w:t>
      </w:r>
    </w:p>
    <w:p w:rsidR="00AB42BA" w:rsidRPr="00301148" w:rsidRDefault="00AB42BA" w:rsidP="00AB42BA">
      <w:pPr>
        <w:pStyle w:val="corpotestoinformativa"/>
        <w:rPr>
          <w:rFonts w:ascii="PT Sans" w:hAnsi="PT Sans"/>
        </w:rPr>
      </w:pPr>
    </w:p>
    <w:p w:rsidR="00AB42BA" w:rsidRDefault="00AB42BA" w:rsidP="00AB42BA">
      <w:pPr>
        <w:pStyle w:val="titoloinformativa"/>
        <w:spacing w:line="320" w:lineRule="exact"/>
        <w:rPr>
          <w:rFonts w:ascii="PT Sans" w:hAnsi="PT Sans"/>
          <w:szCs w:val="22"/>
        </w:rPr>
      </w:pPr>
      <w:r>
        <w:rPr>
          <w:rFonts w:ascii="PT Sans" w:hAnsi="PT Sans"/>
          <w:szCs w:val="22"/>
        </w:rPr>
        <w:t xml:space="preserve">SUL DIRITTO DI SUPERFICIE </w:t>
      </w:r>
      <w:r w:rsidRPr="0093781F">
        <w:rPr>
          <w:rFonts w:ascii="PT Sans" w:hAnsi="PT Sans"/>
          <w:i/>
          <w:szCs w:val="22"/>
        </w:rPr>
        <w:t>DIETROFRONT</w:t>
      </w:r>
      <w:r>
        <w:rPr>
          <w:rFonts w:ascii="PT Sans" w:hAnsi="PT Sans"/>
          <w:szCs w:val="22"/>
        </w:rPr>
        <w:t xml:space="preserve"> DELL’AGENZIA DELLE ENTRATE</w:t>
      </w:r>
    </w:p>
    <w:p w:rsidR="00AB42BA" w:rsidRPr="00D92A78" w:rsidRDefault="00AB42BA" w:rsidP="00AB42BA">
      <w:pPr>
        <w:pStyle w:val="titoloinformativa"/>
        <w:spacing w:line="320" w:lineRule="exact"/>
        <w:jc w:val="left"/>
        <w:rPr>
          <w:rFonts w:ascii="PT Sans" w:hAnsi="PT Sans" w:cs="Arial"/>
          <w:b w:val="0"/>
          <w:sz w:val="22"/>
        </w:rPr>
      </w:pPr>
    </w:p>
    <w:p w:rsidR="00AB42BA" w:rsidRPr="00D92A78" w:rsidRDefault="00AB42BA" w:rsidP="00AB42BA">
      <w:pPr>
        <w:spacing w:line="320" w:lineRule="exact"/>
        <w:rPr>
          <w:rFonts w:ascii="PT Sans" w:hAnsi="PT Sans" w:cs="Arial"/>
          <w:szCs w:val="22"/>
        </w:rPr>
      </w:pPr>
    </w:p>
    <w:p w:rsidR="00AB42BA" w:rsidRDefault="00AB42BA" w:rsidP="00AB42BA">
      <w:pPr>
        <w:pStyle w:val="corpotestoinformativa"/>
        <w:spacing w:line="360" w:lineRule="auto"/>
        <w:rPr>
          <w:rFonts w:ascii="PT Sans" w:hAnsi="PT Sans"/>
        </w:rPr>
      </w:pPr>
      <w:r w:rsidRPr="0050758C">
        <w:rPr>
          <w:rFonts w:ascii="PT Sans" w:hAnsi="PT Sans"/>
        </w:rPr>
        <w:t xml:space="preserve">L’Agenzia delle entrate, con la </w:t>
      </w:r>
      <w:r w:rsidRPr="002471EE">
        <w:rPr>
          <w:rFonts w:ascii="PT Sans" w:hAnsi="PT Sans"/>
          <w:b/>
        </w:rPr>
        <w:t>circolare n. 6/E del 20 aprile 2018</w:t>
      </w:r>
      <w:r w:rsidRPr="0050758C">
        <w:rPr>
          <w:rFonts w:ascii="PT Sans" w:hAnsi="PT Sans"/>
        </w:rPr>
        <w:t xml:space="preserve"> è intervenuta in rettifica di quanto precedentemente affermato</w:t>
      </w:r>
      <w:r>
        <w:rPr>
          <w:rFonts w:ascii="PT Sans" w:hAnsi="PT Sans"/>
        </w:rPr>
        <w:t xml:space="preserve"> (vedasi </w:t>
      </w:r>
      <w:r w:rsidRPr="0050758C">
        <w:rPr>
          <w:rFonts w:ascii="PT Sans" w:hAnsi="PT Sans"/>
        </w:rPr>
        <w:t>circolare n. 36/E del 19 dicembre 2013</w:t>
      </w:r>
      <w:r>
        <w:rPr>
          <w:rFonts w:ascii="PT Sans" w:hAnsi="PT Sans"/>
        </w:rPr>
        <w:t>)</w:t>
      </w:r>
      <w:r w:rsidRPr="0050758C">
        <w:rPr>
          <w:rFonts w:ascii="PT Sans" w:hAnsi="PT Sans"/>
        </w:rPr>
        <w:t xml:space="preserve"> in materia di trattamento fiscale dei corrispettivi ricevuti a seguito di costituzione e cessione di diritto di superficie.</w:t>
      </w:r>
    </w:p>
    <w:p w:rsidR="00AB42BA" w:rsidRPr="006F1BAF" w:rsidRDefault="00AB42BA" w:rsidP="00AB42BA">
      <w:pPr>
        <w:spacing w:line="100" w:lineRule="exact"/>
        <w:jc w:val="both"/>
        <w:rPr>
          <w:rFonts w:ascii="PT Sans" w:hAnsi="PT Sans"/>
          <w:szCs w:val="22"/>
        </w:rPr>
      </w:pPr>
    </w:p>
    <w:tbl>
      <w:tblPr>
        <w:tblW w:w="9720" w:type="dxa"/>
        <w:tblInd w:w="108" w:type="dxa"/>
        <w:tblBorders>
          <w:top w:val="single" w:sz="4" w:space="0" w:color="779BAD"/>
          <w:left w:val="single" w:sz="4" w:space="0" w:color="779BAD"/>
          <w:bottom w:val="single" w:sz="4" w:space="0" w:color="779BAD"/>
          <w:right w:val="single" w:sz="4" w:space="0" w:color="779BAD"/>
          <w:insideH w:val="single" w:sz="4" w:space="0" w:color="779BAD"/>
          <w:insideV w:val="single" w:sz="4" w:space="0" w:color="779BAD"/>
        </w:tblBorders>
        <w:tblLook w:val="04A0" w:firstRow="1" w:lastRow="0" w:firstColumn="1" w:lastColumn="0" w:noHBand="0" w:noVBand="1"/>
      </w:tblPr>
      <w:tblGrid>
        <w:gridCol w:w="9720"/>
      </w:tblGrid>
      <w:tr w:rsidR="00AB42BA" w:rsidRPr="006F1BAF" w:rsidTr="006D664E">
        <w:trPr>
          <w:trHeight w:val="325"/>
        </w:trPr>
        <w:tc>
          <w:tcPr>
            <w:tcW w:w="9720" w:type="dxa"/>
            <w:tcBorders>
              <w:top w:val="single" w:sz="8" w:space="0" w:color="006EB7"/>
              <w:left w:val="single" w:sz="8" w:space="0" w:color="006EB7"/>
              <w:bottom w:val="single" w:sz="8" w:space="0" w:color="006EB7"/>
              <w:right w:val="single" w:sz="8" w:space="0" w:color="006EB7"/>
            </w:tcBorders>
          </w:tcPr>
          <w:p w:rsidR="00AB42BA" w:rsidRPr="0093781F" w:rsidRDefault="00AB42BA" w:rsidP="006D664E">
            <w:pPr>
              <w:spacing w:before="120" w:line="320" w:lineRule="exact"/>
              <w:ind w:left="102" w:right="102"/>
              <w:jc w:val="both"/>
              <w:rPr>
                <w:rFonts w:ascii="PT Sans" w:hAnsi="PT Sans" w:cs="Arial"/>
                <w:color w:val="000000"/>
              </w:rPr>
            </w:pPr>
            <w:r w:rsidRPr="0050758C">
              <w:rPr>
                <w:rFonts w:ascii="PT Sans" w:hAnsi="PT Sans"/>
              </w:rPr>
              <w:t xml:space="preserve">Il diritto di superficie, come noto, è un diritto reale di godimento disciplinato dagli articoli 952-956, cod. civ. e </w:t>
            </w:r>
            <w:r w:rsidRPr="0093781F">
              <w:rPr>
                <w:rFonts w:ascii="PT Sans" w:hAnsi="PT Sans" w:cs="Arial"/>
                <w:color w:val="000000"/>
              </w:rPr>
              <w:t>consiste nella concessione, da parte del proprietario di un terreno o di un immobile, a terzi del diritto a costruire sopra o sotto il suolo.</w:t>
            </w:r>
          </w:p>
          <w:p w:rsidR="00AB42BA" w:rsidRPr="006F1BAF" w:rsidRDefault="00AB42BA" w:rsidP="006D664E">
            <w:pPr>
              <w:spacing w:after="120" w:line="320" w:lineRule="exact"/>
              <w:ind w:left="102" w:right="102"/>
              <w:jc w:val="both"/>
              <w:rPr>
                <w:rFonts w:ascii="PT Sans" w:hAnsi="PT Sans" w:cs="Arial"/>
                <w:spacing w:val="-2"/>
                <w:szCs w:val="22"/>
              </w:rPr>
            </w:pPr>
            <w:r w:rsidRPr="0093781F">
              <w:rPr>
                <w:rFonts w:ascii="PT Sans" w:hAnsi="PT Sans" w:cs="Arial"/>
                <w:color w:val="000000"/>
              </w:rPr>
              <w:t>In particolare, ai sensi dell’articol</w:t>
            </w:r>
            <w:r w:rsidRPr="0050758C">
              <w:rPr>
                <w:rFonts w:ascii="PT Sans" w:hAnsi="PT Sans"/>
              </w:rPr>
              <w:t>o 952, cod. civ. “</w:t>
            </w:r>
            <w:r w:rsidRPr="0050758C">
              <w:rPr>
                <w:rFonts w:ascii="PT Sans" w:hAnsi="PT Sans"/>
                <w:i/>
              </w:rPr>
              <w:t>Il proprietario può costituire il diritto di fare e mantenere al di sopra del suolo una costruzione a favore di altri, che ne acquista la proprietà. Del pari può alienare la proprietà della costruzione già esistente, separatamente dalla proprietà del suolo</w:t>
            </w:r>
            <w:r w:rsidRPr="0050758C">
              <w:rPr>
                <w:rFonts w:ascii="PT Sans" w:hAnsi="PT Sans"/>
              </w:rPr>
              <w:t>.”.</w:t>
            </w:r>
          </w:p>
        </w:tc>
      </w:tr>
    </w:tbl>
    <w:p w:rsidR="00AB42BA" w:rsidRDefault="00AB42BA" w:rsidP="00AB42BA">
      <w:pPr>
        <w:pStyle w:val="corpotestoinformativa"/>
        <w:spacing w:before="120" w:after="120" w:line="360" w:lineRule="auto"/>
        <w:rPr>
          <w:rFonts w:ascii="PT Sans" w:hAnsi="PT Sans"/>
        </w:rPr>
      </w:pPr>
      <w:r w:rsidRPr="0050758C">
        <w:rPr>
          <w:rFonts w:ascii="PT Sans" w:hAnsi="PT Sans"/>
        </w:rPr>
        <w:t>Ne deriva che il diritto di superficie può avere le seguenti forme:</w:t>
      </w:r>
    </w:p>
    <w:tbl>
      <w:tblPr>
        <w:tblW w:w="0" w:type="auto"/>
        <w:tblInd w:w="108" w:type="dxa"/>
        <w:tblBorders>
          <w:top w:val="single" w:sz="4" w:space="0" w:color="006EB7"/>
          <w:left w:val="single" w:sz="4" w:space="0" w:color="006EB7"/>
          <w:bottom w:val="single" w:sz="4" w:space="0" w:color="006EB7"/>
          <w:right w:val="single" w:sz="4" w:space="0" w:color="006EB7"/>
          <w:insideH w:val="single" w:sz="4" w:space="0" w:color="006EB7"/>
          <w:insideV w:val="single" w:sz="4" w:space="0" w:color="006EB7"/>
        </w:tblBorders>
        <w:shd w:val="clear" w:color="auto" w:fill="FFFFFF"/>
        <w:tblLook w:val="04A0" w:firstRow="1" w:lastRow="0" w:firstColumn="1" w:lastColumn="0" w:noHBand="0" w:noVBand="1"/>
      </w:tblPr>
      <w:tblGrid>
        <w:gridCol w:w="9670"/>
      </w:tblGrid>
      <w:tr w:rsidR="00AB42BA" w:rsidTr="006D664E">
        <w:tc>
          <w:tcPr>
            <w:tcW w:w="9670" w:type="dxa"/>
            <w:shd w:val="clear" w:color="auto" w:fill="FFFFFF"/>
          </w:tcPr>
          <w:p w:rsidR="00AB42BA" w:rsidRPr="00077FE1" w:rsidRDefault="00AB42BA" w:rsidP="006D664E">
            <w:pPr>
              <w:pStyle w:val="corpotestoinformativa"/>
              <w:spacing w:line="320" w:lineRule="exact"/>
              <w:rPr>
                <w:rFonts w:ascii="PT Sans" w:hAnsi="PT Sans"/>
                <w:sz w:val="20"/>
              </w:rPr>
            </w:pPr>
            <w:r w:rsidRPr="00077FE1">
              <w:rPr>
                <w:rFonts w:ascii="PT Sans" w:hAnsi="PT Sans"/>
                <w:sz w:val="20"/>
              </w:rPr>
              <w:t>Riconoscimento a favore di un terzo del diritto a costruire al di sopra e/o al di sotto del suolo di proprietà del concedente</w:t>
            </w:r>
          </w:p>
        </w:tc>
      </w:tr>
      <w:tr w:rsidR="00AB42BA" w:rsidTr="006D664E">
        <w:tc>
          <w:tcPr>
            <w:tcW w:w="9670" w:type="dxa"/>
            <w:shd w:val="clear" w:color="auto" w:fill="FFFFFF"/>
          </w:tcPr>
          <w:p w:rsidR="00AB42BA" w:rsidRPr="00077FE1" w:rsidRDefault="00AB42BA" w:rsidP="006D664E">
            <w:pPr>
              <w:pStyle w:val="corpotestoinformativa"/>
              <w:spacing w:line="320" w:lineRule="exact"/>
              <w:rPr>
                <w:rFonts w:ascii="PT Sans" w:hAnsi="PT Sans"/>
                <w:sz w:val="20"/>
              </w:rPr>
            </w:pPr>
            <w:r w:rsidRPr="00077FE1">
              <w:rPr>
                <w:rFonts w:ascii="PT Sans" w:hAnsi="PT Sans"/>
                <w:sz w:val="20"/>
              </w:rPr>
              <w:t>Trasferimento della proprietà di un edificio senza il trasferimento della proprietà del terreno su cui lo stesso sorge</w:t>
            </w:r>
          </w:p>
        </w:tc>
      </w:tr>
    </w:tbl>
    <w:p w:rsidR="00AB42BA" w:rsidRPr="0050758C" w:rsidRDefault="00AB42BA" w:rsidP="00AB42BA">
      <w:pPr>
        <w:pStyle w:val="corpotestoinformativa"/>
        <w:spacing w:before="120" w:line="320" w:lineRule="exact"/>
        <w:rPr>
          <w:rFonts w:ascii="PT Sans" w:hAnsi="PT Sans"/>
        </w:rPr>
      </w:pPr>
      <w:r w:rsidRPr="0050758C">
        <w:rPr>
          <w:rFonts w:ascii="PT Sans" w:hAnsi="PT Sans"/>
        </w:rPr>
        <w:t>Ai sensi dell’articolo 1350, cod. civ., il diritto di superficie deve essere sempre, a pena di nullità, costituito per atto pubblico o pe</w:t>
      </w:r>
      <w:r>
        <w:rPr>
          <w:rFonts w:ascii="PT Sans" w:hAnsi="PT Sans"/>
        </w:rPr>
        <w:t>r scrittura privata autenticata e pu</w:t>
      </w:r>
      <w:r w:rsidRPr="0050758C">
        <w:rPr>
          <w:rFonts w:ascii="PT Sans" w:hAnsi="PT Sans"/>
        </w:rPr>
        <w:t>ò essere concesso sia a tempo determinato sia a tempo indeterminato, con la conseguenza che nella prima ipotesi si assisterà, allo scadere del termine previsto, al ripristino del principio di accessione di cui all’articolo 934, cod. civ..</w:t>
      </w:r>
    </w:p>
    <w:p w:rsidR="00AB42BA" w:rsidRPr="0050758C" w:rsidRDefault="00AB42BA" w:rsidP="00AB42BA">
      <w:pPr>
        <w:pStyle w:val="corpotestoinformativa"/>
        <w:spacing w:line="320" w:lineRule="exact"/>
        <w:rPr>
          <w:rFonts w:ascii="PT Sans" w:hAnsi="PT Sans"/>
        </w:rPr>
      </w:pPr>
      <w:r w:rsidRPr="0050758C">
        <w:rPr>
          <w:rFonts w:ascii="PT Sans" w:hAnsi="PT Sans"/>
        </w:rPr>
        <w:t>Nel tempo, soprattutto nel settore delle energie rinnovabili, si era sviluppata, fintantoché era possibile la realizzazione di ca</w:t>
      </w:r>
      <w:r>
        <w:rPr>
          <w:rFonts w:ascii="PT Sans" w:hAnsi="PT Sans"/>
        </w:rPr>
        <w:t>m</w:t>
      </w:r>
      <w:r w:rsidRPr="0050758C">
        <w:rPr>
          <w:rFonts w:ascii="PT Sans" w:hAnsi="PT Sans"/>
        </w:rPr>
        <w:t>pi fotovoltaici, la prassi di procedere alla cessione del diritto di superficie inerent</w:t>
      </w:r>
      <w:r>
        <w:rPr>
          <w:rFonts w:ascii="PT Sans" w:hAnsi="PT Sans"/>
        </w:rPr>
        <w:t>e</w:t>
      </w:r>
      <w:r w:rsidRPr="0050758C">
        <w:rPr>
          <w:rFonts w:ascii="PT Sans" w:hAnsi="PT Sans"/>
        </w:rPr>
        <w:t xml:space="preserve"> i terreni.</w:t>
      </w:r>
    </w:p>
    <w:p w:rsidR="00AB42BA" w:rsidRDefault="00AB42BA" w:rsidP="00AB42BA">
      <w:pPr>
        <w:pStyle w:val="corpotestoinformativa"/>
        <w:spacing w:line="320" w:lineRule="exact"/>
        <w:rPr>
          <w:rFonts w:ascii="PT Sans" w:hAnsi="PT Sans"/>
        </w:rPr>
      </w:pPr>
      <w:r w:rsidRPr="0050758C">
        <w:rPr>
          <w:rFonts w:ascii="PT Sans" w:hAnsi="PT Sans"/>
        </w:rPr>
        <w:t>Su questo aspetto, per quanto riguarda il regime impositivo in capo alle persone fisiche, nonostante l’indirizzo dottrinario e giurisprudenziale sia stato sempre pressoché univoco, l’Agenzia delle entrate, con la circolare n. 36/E/2013 aveva offerto un’interpretazione alquanto restrittiva e penalizzante per il contribuente negando, di fatto, l’applicabilità dell’articolo 9, comma 5, Tuir ai sensi del quale</w:t>
      </w:r>
      <w:r>
        <w:rPr>
          <w:rFonts w:ascii="PT Sans" w:hAnsi="PT Sans"/>
        </w:rPr>
        <w:t>:</w:t>
      </w:r>
    </w:p>
    <w:p w:rsidR="00AB42BA" w:rsidRDefault="00AB42BA" w:rsidP="00AB42BA">
      <w:pPr>
        <w:pStyle w:val="corpotestoinformativa"/>
        <w:spacing w:line="320" w:lineRule="exact"/>
        <w:rPr>
          <w:rFonts w:ascii="PT Sans" w:hAnsi="PT Sans"/>
          <w:i/>
        </w:rPr>
      </w:pPr>
      <w:r w:rsidRPr="0050758C">
        <w:rPr>
          <w:rFonts w:ascii="PT Sans" w:hAnsi="PT Sans"/>
          <w:i/>
        </w:rPr>
        <w:t>“Ai fini delle imposte sui redditi le disposizioni relative alle cessioni a titolo oneroso valgono anche per gli atti a titolo oneroso che importano costituzione o trasferimento di diritti reali di godimento e per i conferimenti in società.”.</w:t>
      </w:r>
    </w:p>
    <w:p w:rsidR="00AB42BA" w:rsidRPr="0050758C" w:rsidRDefault="00AB42BA" w:rsidP="00AB42BA">
      <w:pPr>
        <w:pStyle w:val="corpotestoinformativa"/>
        <w:spacing w:line="320" w:lineRule="exact"/>
        <w:rPr>
          <w:rFonts w:ascii="PT Sans" w:hAnsi="PT Sans"/>
          <w:i/>
        </w:rPr>
      </w:pPr>
    </w:p>
    <w:p w:rsidR="00AB42BA" w:rsidRPr="0050758C" w:rsidRDefault="00AB42BA" w:rsidP="00AB42BA">
      <w:pPr>
        <w:pStyle w:val="corpotestoinformativa"/>
        <w:spacing w:line="320" w:lineRule="exact"/>
        <w:rPr>
          <w:rFonts w:ascii="PT Sans" w:hAnsi="PT Sans"/>
        </w:rPr>
      </w:pPr>
      <w:r w:rsidRPr="0050758C">
        <w:rPr>
          <w:rFonts w:ascii="PT Sans" w:hAnsi="PT Sans"/>
        </w:rPr>
        <w:lastRenderedPageBreak/>
        <w:t>In particolare, l’Agenzia delle entrate, con la circolare n. 36/E richiamata ammetteva l’applicabilità dell’articolo 9, Tuir, con tutte le conseguenze normative che ne derivano, esclusivamente nell’ipotesi in cui l’atto di provenienza del fondo su cui il contribuente procede alla cessione del diritto di superficie, contenesse l’espressa e distinta valorizzazione del diritto stesso.</w:t>
      </w:r>
    </w:p>
    <w:p w:rsidR="00AB42BA" w:rsidRPr="0050758C" w:rsidRDefault="00AB42BA" w:rsidP="00AB42BA">
      <w:pPr>
        <w:pStyle w:val="corpotestoinformativa"/>
        <w:spacing w:line="320" w:lineRule="exact"/>
        <w:rPr>
          <w:rFonts w:ascii="PT Sans" w:hAnsi="PT Sans"/>
        </w:rPr>
      </w:pPr>
      <w:r w:rsidRPr="0050758C">
        <w:rPr>
          <w:rFonts w:ascii="PT Sans" w:hAnsi="PT Sans"/>
        </w:rPr>
        <w:t xml:space="preserve">Con la </w:t>
      </w:r>
      <w:r>
        <w:rPr>
          <w:rFonts w:ascii="PT Sans" w:hAnsi="PT Sans"/>
        </w:rPr>
        <w:t xml:space="preserve">recente </w:t>
      </w:r>
      <w:r w:rsidRPr="0050758C">
        <w:rPr>
          <w:rFonts w:ascii="PT Sans" w:hAnsi="PT Sans"/>
        </w:rPr>
        <w:t>circolare n. 6/E/2018, l’Agenzia delle entrate, in correzione del precedente indirizzo, si è allineata a quanto affermato dalla Corte di Cassazione con la sentenza n. 15333/2014 ai sensi della quale si rende pienamente applicabile quanto previsto dall’articolo 9, comma 5, Tuir, con la conseguenza che per le persone fisiche la cessione o la costituzione del</w:t>
      </w:r>
      <w:r>
        <w:rPr>
          <w:rFonts w:ascii="PT Sans" w:hAnsi="PT Sans"/>
        </w:rPr>
        <w:t xml:space="preserve"> </w:t>
      </w:r>
      <w:r w:rsidRPr="0050758C">
        <w:rPr>
          <w:rFonts w:ascii="PT Sans" w:hAnsi="PT Sans"/>
        </w:rPr>
        <w:t>diritt</w:t>
      </w:r>
      <w:r>
        <w:rPr>
          <w:rFonts w:ascii="PT Sans" w:hAnsi="PT Sans"/>
        </w:rPr>
        <w:t>o</w:t>
      </w:r>
      <w:r w:rsidRPr="0050758C">
        <w:rPr>
          <w:rFonts w:ascii="PT Sans" w:hAnsi="PT Sans"/>
        </w:rPr>
        <w:t xml:space="preserve"> di superficie determina un reddito diverso ai sensi dell’articolo 67, comma 1, lettera b), D.P.R. 917/1986. </w:t>
      </w:r>
    </w:p>
    <w:p w:rsidR="00AB42BA" w:rsidRDefault="00AB42BA" w:rsidP="00AB42BA">
      <w:pPr>
        <w:pStyle w:val="corpotestoinformativa"/>
        <w:spacing w:line="320" w:lineRule="exact"/>
        <w:rPr>
          <w:rFonts w:ascii="PT Sans" w:hAnsi="PT Sans"/>
        </w:rPr>
      </w:pPr>
      <w:r w:rsidRPr="0050758C">
        <w:rPr>
          <w:rFonts w:ascii="PT Sans" w:hAnsi="PT Sans"/>
        </w:rPr>
        <w:t>Si vengono così a determinare le seguenti fattispecie:</w:t>
      </w:r>
    </w:p>
    <w:p w:rsidR="00AB42BA" w:rsidRDefault="00AB42BA" w:rsidP="00AB42BA">
      <w:pPr>
        <w:pStyle w:val="corpotestoinformativa"/>
        <w:spacing w:line="320" w:lineRule="exact"/>
        <w:rPr>
          <w:rFonts w:ascii="PT Sans" w:hAnsi="PT Sans"/>
        </w:rPr>
      </w:pPr>
    </w:p>
    <w:tbl>
      <w:tblPr>
        <w:tblW w:w="0" w:type="auto"/>
        <w:tblInd w:w="108" w:type="dxa"/>
        <w:tblBorders>
          <w:top w:val="single" w:sz="4" w:space="0" w:color="006EB7"/>
          <w:left w:val="single" w:sz="4" w:space="0" w:color="006EB7"/>
          <w:bottom w:val="single" w:sz="4" w:space="0" w:color="006EB7"/>
          <w:right w:val="single" w:sz="4" w:space="0" w:color="006EB7"/>
          <w:insideH w:val="single" w:sz="4" w:space="0" w:color="006EB7"/>
          <w:insideV w:val="single" w:sz="4" w:space="0" w:color="006EB7"/>
        </w:tblBorders>
        <w:shd w:val="clear" w:color="auto" w:fill="DEEAF6"/>
        <w:tblLook w:val="04A0" w:firstRow="1" w:lastRow="0" w:firstColumn="1" w:lastColumn="0" w:noHBand="0" w:noVBand="1"/>
      </w:tblPr>
      <w:tblGrid>
        <w:gridCol w:w="4781"/>
        <w:gridCol w:w="4889"/>
      </w:tblGrid>
      <w:tr w:rsidR="00AB42BA" w:rsidTr="006D664E">
        <w:tc>
          <w:tcPr>
            <w:tcW w:w="4781" w:type="dxa"/>
            <w:shd w:val="clear" w:color="auto" w:fill="DEEAF6"/>
          </w:tcPr>
          <w:p w:rsidR="00AB42BA" w:rsidRPr="00077FE1" w:rsidRDefault="00AB42BA" w:rsidP="006D664E">
            <w:pPr>
              <w:pStyle w:val="corpotestoinformativa"/>
              <w:spacing w:line="320" w:lineRule="exact"/>
              <w:rPr>
                <w:rFonts w:ascii="PT Sans" w:hAnsi="PT Sans"/>
                <w:sz w:val="20"/>
              </w:rPr>
            </w:pPr>
            <w:r w:rsidRPr="00077FE1">
              <w:rPr>
                <w:rFonts w:ascii="PT Sans" w:hAnsi="PT Sans"/>
                <w:sz w:val="20"/>
              </w:rPr>
              <w:t>costituzione del diritto su terreno edificabile</w:t>
            </w:r>
          </w:p>
        </w:tc>
        <w:tc>
          <w:tcPr>
            <w:tcW w:w="4889" w:type="dxa"/>
            <w:shd w:val="clear" w:color="auto" w:fill="DEEAF6"/>
          </w:tcPr>
          <w:p w:rsidR="00AB42BA" w:rsidRPr="00077FE1" w:rsidRDefault="00AB42BA" w:rsidP="006D664E">
            <w:pPr>
              <w:pStyle w:val="corpotestoinformativa"/>
              <w:spacing w:line="320" w:lineRule="exact"/>
              <w:rPr>
                <w:rFonts w:ascii="PT Sans" w:hAnsi="PT Sans"/>
                <w:sz w:val="20"/>
              </w:rPr>
            </w:pPr>
            <w:r w:rsidRPr="00077FE1">
              <w:rPr>
                <w:rFonts w:ascii="PT Sans" w:hAnsi="PT Sans"/>
                <w:sz w:val="20"/>
              </w:rPr>
              <w:t>sempre plusvalente</w:t>
            </w:r>
          </w:p>
        </w:tc>
      </w:tr>
      <w:tr w:rsidR="00AB42BA" w:rsidTr="006D664E">
        <w:tc>
          <w:tcPr>
            <w:tcW w:w="4781" w:type="dxa"/>
            <w:shd w:val="clear" w:color="auto" w:fill="DEEAF6"/>
          </w:tcPr>
          <w:p w:rsidR="00AB42BA" w:rsidRPr="00077FE1" w:rsidRDefault="00AB42BA" w:rsidP="006D664E">
            <w:pPr>
              <w:pStyle w:val="corpotestoinformativa"/>
              <w:spacing w:line="320" w:lineRule="exact"/>
              <w:rPr>
                <w:rFonts w:ascii="PT Sans" w:hAnsi="PT Sans"/>
                <w:sz w:val="20"/>
              </w:rPr>
            </w:pPr>
            <w:r w:rsidRPr="00077FE1">
              <w:rPr>
                <w:rFonts w:ascii="PT Sans" w:hAnsi="PT Sans"/>
                <w:sz w:val="20"/>
              </w:rPr>
              <w:t>costituzione su terreno agricolo</w:t>
            </w:r>
          </w:p>
        </w:tc>
        <w:tc>
          <w:tcPr>
            <w:tcW w:w="4889" w:type="dxa"/>
            <w:shd w:val="clear" w:color="auto" w:fill="DEEAF6"/>
          </w:tcPr>
          <w:p w:rsidR="00AB42BA" w:rsidRPr="00077FE1" w:rsidRDefault="00AB42BA" w:rsidP="006D664E">
            <w:pPr>
              <w:pStyle w:val="corpotestoinformativa"/>
              <w:spacing w:line="320" w:lineRule="exact"/>
              <w:rPr>
                <w:rFonts w:ascii="PT Sans" w:hAnsi="PT Sans"/>
                <w:sz w:val="20"/>
              </w:rPr>
            </w:pPr>
            <w:r w:rsidRPr="00077FE1">
              <w:rPr>
                <w:rFonts w:ascii="PT Sans" w:hAnsi="PT Sans"/>
                <w:sz w:val="20"/>
              </w:rPr>
              <w:t>nessuna tassazione se il terreno è posseduto da almeno 5 anni o è pervenuto da successione</w:t>
            </w:r>
          </w:p>
        </w:tc>
      </w:tr>
    </w:tbl>
    <w:p w:rsidR="00AB42BA" w:rsidRPr="0050758C" w:rsidRDefault="00AB42BA" w:rsidP="00AB42BA">
      <w:pPr>
        <w:pStyle w:val="corpotestoinformativa"/>
        <w:spacing w:before="120" w:line="320" w:lineRule="exact"/>
        <w:rPr>
          <w:rFonts w:ascii="PT Sans" w:hAnsi="PT Sans"/>
        </w:rPr>
      </w:pPr>
      <w:r w:rsidRPr="0050758C">
        <w:rPr>
          <w:rFonts w:ascii="PT Sans" w:hAnsi="PT Sans"/>
        </w:rPr>
        <w:t>Ai fini della determinazione dell’eventuale plusvalenza originatasi, sempre la circolare n. 6/E ricorda come ai sensi del successivo articolo 68, comma 1, Tuir, essa si determina quale differenza tra i “</w:t>
      </w:r>
      <w:r w:rsidRPr="0050758C">
        <w:rPr>
          <w:rFonts w:ascii="PT Sans" w:hAnsi="PT Sans"/>
          <w:i/>
        </w:rPr>
        <w:t>corrispettivi percepiti nel periodo di imposta e il prezzo di acquisto o il costo di costruzione del bene ceduto, aumentato di ogni altro costo inerente al bene medesimo</w:t>
      </w:r>
      <w:r w:rsidRPr="0050758C">
        <w:rPr>
          <w:rFonts w:ascii="PT Sans" w:hAnsi="PT Sans"/>
        </w:rPr>
        <w:t>”.</w:t>
      </w:r>
    </w:p>
    <w:p w:rsidR="00AB42BA" w:rsidRDefault="00AB42BA" w:rsidP="00AB42BA">
      <w:pPr>
        <w:pStyle w:val="corpotestoinformativa"/>
        <w:spacing w:after="120" w:line="320" w:lineRule="exact"/>
        <w:rPr>
          <w:rFonts w:ascii="PT Sans" w:hAnsi="PT Sans"/>
        </w:rPr>
      </w:pPr>
      <w:r w:rsidRPr="0050758C">
        <w:rPr>
          <w:rFonts w:ascii="PT Sans" w:hAnsi="PT Sans"/>
        </w:rPr>
        <w:t>Ne deriva che la plusvalenza potrà essere alternativamente determinata nei seguenti modi:</w:t>
      </w:r>
    </w:p>
    <w:tbl>
      <w:tblPr>
        <w:tblW w:w="0" w:type="auto"/>
        <w:tblInd w:w="108" w:type="dxa"/>
        <w:tblBorders>
          <w:top w:val="single" w:sz="4" w:space="0" w:color="006EB7"/>
          <w:left w:val="single" w:sz="4" w:space="0" w:color="006EB7"/>
          <w:bottom w:val="single" w:sz="4" w:space="0" w:color="006EB7"/>
          <w:right w:val="single" w:sz="4" w:space="0" w:color="006EB7"/>
          <w:insideH w:val="single" w:sz="4" w:space="0" w:color="006EB7"/>
          <w:insideV w:val="single" w:sz="4" w:space="0" w:color="006EB7"/>
        </w:tblBorders>
        <w:tblLook w:val="04A0" w:firstRow="1" w:lastRow="0" w:firstColumn="1" w:lastColumn="0" w:noHBand="0" w:noVBand="1"/>
      </w:tblPr>
      <w:tblGrid>
        <w:gridCol w:w="9670"/>
      </w:tblGrid>
      <w:tr w:rsidR="00AB42BA" w:rsidTr="006D664E">
        <w:tc>
          <w:tcPr>
            <w:tcW w:w="9670" w:type="dxa"/>
            <w:shd w:val="clear" w:color="auto" w:fill="auto"/>
          </w:tcPr>
          <w:p w:rsidR="00AB42BA" w:rsidRPr="00077FE1" w:rsidRDefault="00AB42BA" w:rsidP="006D664E">
            <w:pPr>
              <w:pStyle w:val="corpotestoinformativa"/>
              <w:spacing w:line="320" w:lineRule="exact"/>
              <w:rPr>
                <w:rFonts w:ascii="PT Sans" w:hAnsi="PT Sans"/>
                <w:sz w:val="20"/>
              </w:rPr>
            </w:pPr>
            <w:r w:rsidRPr="00077FE1">
              <w:rPr>
                <w:rFonts w:ascii="PT Sans" w:hAnsi="PT Sans"/>
                <w:sz w:val="20"/>
              </w:rPr>
              <w:t>In caso di precedente acquisto a titolo onero del diritto di superficie si prendere quale costo fiscalmente riconosciuto quello sostenuto a suo tempo</w:t>
            </w:r>
          </w:p>
        </w:tc>
      </w:tr>
      <w:tr w:rsidR="00AB42BA" w:rsidTr="006D664E">
        <w:tc>
          <w:tcPr>
            <w:tcW w:w="9670" w:type="dxa"/>
            <w:shd w:val="clear" w:color="auto" w:fill="auto"/>
          </w:tcPr>
          <w:p w:rsidR="00AB42BA" w:rsidRPr="00077FE1" w:rsidRDefault="00AB42BA" w:rsidP="006D664E">
            <w:pPr>
              <w:pStyle w:val="corpotestoinformativa"/>
              <w:spacing w:line="320" w:lineRule="exact"/>
              <w:rPr>
                <w:rFonts w:ascii="PT Sans" w:hAnsi="PT Sans"/>
                <w:sz w:val="20"/>
              </w:rPr>
            </w:pPr>
            <w:r w:rsidRPr="00077FE1">
              <w:rPr>
                <w:rFonts w:ascii="PT Sans" w:hAnsi="PT Sans"/>
                <w:sz w:val="20"/>
              </w:rPr>
              <w:t>In caso di assenza di precedente acquisto a titolo oneroso, come già precisato con la precedente risoluzione n. 379/E/2008, si utilizzerà un criterio di tipo proporzionale, fondato sul rapporto tra il valore complessivo attuale del terreno agricolo o dell’area fabbricabile e il corrispettivo percepito per la costituzione del diritto di superficie, da applicare al costo originario di acquisto del terreno</w:t>
            </w:r>
          </w:p>
        </w:tc>
      </w:tr>
    </w:tbl>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Default="00AB42BA" w:rsidP="00AB42BA">
      <w:pPr>
        <w:jc w:val="both"/>
        <w:rPr>
          <w:rFonts w:ascii="PT Sans" w:hAnsi="PT Sans" w:cs="Arial"/>
          <w:sz w:val="10"/>
          <w:szCs w:val="10"/>
          <w:u w:val="single"/>
        </w:rPr>
      </w:pPr>
    </w:p>
    <w:p w:rsidR="00AB42BA" w:rsidRPr="00301148" w:rsidRDefault="00AB42BA" w:rsidP="00AB42BA">
      <w:pPr>
        <w:jc w:val="both"/>
        <w:rPr>
          <w:rFonts w:ascii="PT Sans" w:hAnsi="PT Sans" w:cs="Arial"/>
          <w:sz w:val="10"/>
          <w:szCs w:val="10"/>
          <w:u w:val="single"/>
        </w:rPr>
      </w:pPr>
    </w:p>
    <w:p w:rsidR="00AB42BA" w:rsidRPr="00737B91" w:rsidRDefault="00AB42BA" w:rsidP="00AB42BA">
      <w:pPr>
        <w:pStyle w:val="NormaleWeb"/>
        <w:shd w:val="clear" w:color="auto" w:fill="FFFFFF"/>
        <w:spacing w:before="0" w:beforeAutospacing="0" w:after="0" w:afterAutospacing="0" w:line="320" w:lineRule="exact"/>
        <w:rPr>
          <w:rFonts w:ascii="PT Sans" w:hAnsi="PT Sans" w:cs="Arial"/>
          <w:color w:val="333333"/>
          <w:sz w:val="22"/>
          <w:szCs w:val="22"/>
        </w:rPr>
      </w:pPr>
    </w:p>
    <w:p w:rsidR="00AB42BA" w:rsidRPr="00737B91" w:rsidRDefault="00AB42BA" w:rsidP="00AB42BA">
      <w:pPr>
        <w:pStyle w:val="Corpodeltesto2"/>
        <w:spacing w:before="120" w:line="320" w:lineRule="exact"/>
        <w:jc w:val="center"/>
        <w:rPr>
          <w:rFonts w:ascii="PT Sans" w:hAnsi="PT Sans" w:cs="Arial"/>
          <w:color w:val="333333"/>
          <w:sz w:val="22"/>
        </w:rPr>
      </w:pPr>
      <w:r w:rsidRPr="00737B91">
        <w:rPr>
          <w:rFonts w:ascii="PT Sans" w:hAnsi="PT Sans" w:cs="Arial"/>
          <w:b/>
        </w:rPr>
        <w:lastRenderedPageBreak/>
        <w:t xml:space="preserve">GRUPPO IVA: PUBBLICATO IL DECRETO ATTUATIVO </w:t>
      </w:r>
    </w:p>
    <w:p w:rsidR="00AB42BA" w:rsidRPr="00737B91" w:rsidRDefault="00AB42BA" w:rsidP="00AB42BA">
      <w:pPr>
        <w:pStyle w:val="NormaleWeb"/>
        <w:shd w:val="clear" w:color="auto" w:fill="FFFFFF"/>
        <w:spacing w:before="0" w:beforeAutospacing="0" w:after="0" w:afterAutospacing="0" w:line="320" w:lineRule="exact"/>
        <w:rPr>
          <w:rFonts w:ascii="PT Sans" w:hAnsi="PT Sans" w:cs="Arial"/>
          <w:color w:val="333333"/>
          <w:sz w:val="22"/>
          <w:szCs w:val="22"/>
        </w:rPr>
      </w:pPr>
    </w:p>
    <w:p w:rsidR="00AB42BA" w:rsidRPr="00737B91" w:rsidRDefault="00AB42BA" w:rsidP="00AB42BA">
      <w:pPr>
        <w:pStyle w:val="NormaleWeb"/>
        <w:shd w:val="clear" w:color="auto" w:fill="FFFFFF"/>
        <w:spacing w:before="0" w:beforeAutospacing="0" w:after="0" w:afterAutospacing="0" w:line="320" w:lineRule="exact"/>
        <w:rPr>
          <w:rFonts w:ascii="PT Sans" w:hAnsi="PT Sans" w:cs="Arial"/>
          <w:color w:val="333333"/>
          <w:sz w:val="22"/>
          <w:szCs w:val="22"/>
        </w:rPr>
      </w:pPr>
    </w:p>
    <w:p w:rsidR="00AB42BA" w:rsidRPr="00737B91" w:rsidRDefault="00AB42BA" w:rsidP="00AB42BA">
      <w:pPr>
        <w:spacing w:line="320" w:lineRule="exact"/>
        <w:jc w:val="both"/>
        <w:rPr>
          <w:rFonts w:ascii="PT Sans" w:hAnsi="PT Sans" w:cs="Arial"/>
          <w:szCs w:val="22"/>
        </w:rPr>
      </w:pPr>
      <w:r w:rsidRPr="00737B91">
        <w:rPr>
          <w:rFonts w:ascii="PT Sans" w:hAnsi="PT Sans" w:cs="Arial"/>
          <w:szCs w:val="22"/>
        </w:rPr>
        <w:t>Come già comunicato lo scorso anno, la legge di Bilancio 2017 (L. 232/2016) in attuazione dell'art</w:t>
      </w:r>
      <w:r>
        <w:rPr>
          <w:rFonts w:ascii="PT Sans" w:hAnsi="PT Sans" w:cs="Arial"/>
          <w:szCs w:val="22"/>
        </w:rPr>
        <w:t xml:space="preserve">icolo </w:t>
      </w:r>
      <w:r w:rsidRPr="00737B91">
        <w:rPr>
          <w:rFonts w:ascii="PT Sans" w:hAnsi="PT Sans" w:cs="Arial"/>
          <w:szCs w:val="22"/>
        </w:rPr>
        <w:t>11</w:t>
      </w:r>
      <w:r>
        <w:rPr>
          <w:rFonts w:ascii="PT Sans" w:hAnsi="PT Sans" w:cs="Arial"/>
          <w:szCs w:val="22"/>
        </w:rPr>
        <w:t>,</w:t>
      </w:r>
      <w:r w:rsidRPr="00737B91">
        <w:rPr>
          <w:rFonts w:ascii="PT Sans" w:hAnsi="PT Sans" w:cs="Arial"/>
          <w:szCs w:val="22"/>
        </w:rPr>
        <w:t xml:space="preserve"> Direttiva 2006/112/CE, ha introdotto nel D.P.R. 633/1972, con i nuovi articoli che vanno da 70-</w:t>
      </w:r>
      <w:r w:rsidRPr="00737B91">
        <w:rPr>
          <w:rFonts w:ascii="PT Sans" w:hAnsi="PT Sans" w:cs="Arial"/>
          <w:i/>
          <w:szCs w:val="22"/>
        </w:rPr>
        <w:t>bis</w:t>
      </w:r>
      <w:r w:rsidRPr="00737B91">
        <w:rPr>
          <w:rFonts w:ascii="PT Sans" w:hAnsi="PT Sans" w:cs="Arial"/>
          <w:szCs w:val="22"/>
        </w:rPr>
        <w:t xml:space="preserve"> a 70-</w:t>
      </w:r>
      <w:r w:rsidRPr="00737B91">
        <w:rPr>
          <w:rFonts w:ascii="PT Sans" w:hAnsi="PT Sans" w:cs="Arial"/>
          <w:i/>
          <w:szCs w:val="22"/>
        </w:rPr>
        <w:t>duodecies</w:t>
      </w:r>
      <w:r w:rsidRPr="00737B91">
        <w:rPr>
          <w:rFonts w:ascii="PT Sans" w:hAnsi="PT Sans" w:cs="Arial"/>
          <w:szCs w:val="22"/>
        </w:rPr>
        <w:t>, la disciplina del “Gruppo Iva” che debutterà nel nostro ordinamento a partire dal prossimo 1° gennaio 2019.</w:t>
      </w:r>
    </w:p>
    <w:p w:rsidR="00AB42BA" w:rsidRPr="00737B91" w:rsidRDefault="00AB42BA" w:rsidP="00AB42BA">
      <w:pPr>
        <w:spacing w:line="320" w:lineRule="exact"/>
        <w:jc w:val="both"/>
        <w:rPr>
          <w:rFonts w:ascii="PT Sans" w:hAnsi="PT Sans" w:cs="Arial"/>
          <w:szCs w:val="22"/>
        </w:rPr>
      </w:pPr>
      <w:r w:rsidRPr="00737B91">
        <w:rPr>
          <w:rFonts w:ascii="PT Sans" w:hAnsi="PT Sans" w:cs="Arial"/>
          <w:szCs w:val="22"/>
        </w:rPr>
        <w:t xml:space="preserve">Il recente </w:t>
      </w:r>
      <w:r w:rsidRPr="00737B91">
        <w:rPr>
          <w:rFonts w:ascii="PT Sans" w:hAnsi="PT Sans" w:cs="Arial"/>
          <w:b/>
          <w:szCs w:val="22"/>
        </w:rPr>
        <w:t xml:space="preserve">D.M. Economia e Finanze datato 6 aprile 2018 </w:t>
      </w:r>
      <w:r w:rsidRPr="00737B91">
        <w:rPr>
          <w:rFonts w:ascii="PT Sans" w:hAnsi="PT Sans" w:cs="Arial"/>
          <w:szCs w:val="22"/>
        </w:rPr>
        <w:t>(pubblicato nella G.U. n.</w:t>
      </w:r>
      <w:r>
        <w:rPr>
          <w:rFonts w:ascii="PT Sans" w:hAnsi="PT Sans" w:cs="Arial"/>
          <w:szCs w:val="22"/>
        </w:rPr>
        <w:t xml:space="preserve"> </w:t>
      </w:r>
      <w:r w:rsidRPr="00737B91">
        <w:rPr>
          <w:rFonts w:ascii="PT Sans" w:hAnsi="PT Sans" w:cs="Arial"/>
          <w:szCs w:val="22"/>
        </w:rPr>
        <w:t>90 del 18.4.2018), oltre a fornire le disposizioni di attuazione della nuova disciplina, proroga al 15 novembre 2018 il termine per la presentazione della prima dichiarazione di costituzione del Gruppo Iva con effetto dal 1</w:t>
      </w:r>
      <w:r>
        <w:rPr>
          <w:rFonts w:ascii="PT Sans" w:hAnsi="PT Sans" w:cs="Arial"/>
          <w:szCs w:val="22"/>
        </w:rPr>
        <w:t xml:space="preserve">° gennaio </w:t>
      </w:r>
      <w:r w:rsidRPr="00737B91">
        <w:rPr>
          <w:rFonts w:ascii="PT Sans" w:hAnsi="PT Sans" w:cs="Arial"/>
          <w:szCs w:val="22"/>
        </w:rPr>
        <w:t>2019.</w:t>
      </w:r>
    </w:p>
    <w:p w:rsidR="00AB42BA" w:rsidRPr="00737B91" w:rsidRDefault="00AB42BA" w:rsidP="00AB42BA">
      <w:pPr>
        <w:spacing w:line="320" w:lineRule="exact"/>
        <w:jc w:val="both"/>
        <w:rPr>
          <w:rFonts w:ascii="PT Sans" w:hAnsi="PT Sans" w:cs="Arial"/>
          <w:szCs w:val="22"/>
        </w:rPr>
      </w:pPr>
      <w:r w:rsidRPr="00737B91">
        <w:rPr>
          <w:rFonts w:ascii="PT Sans" w:hAnsi="PT Sans" w:cs="Arial"/>
          <w:szCs w:val="22"/>
        </w:rPr>
        <w:t>Vediamo di riepilogare in sintesi, in forma di rappresentazione schematica, i principali contenuti nel citato decreto.</w:t>
      </w:r>
    </w:p>
    <w:p w:rsidR="00AB42BA" w:rsidRPr="00737B91" w:rsidRDefault="00AB42BA" w:rsidP="00AB42BA">
      <w:pPr>
        <w:spacing w:line="200" w:lineRule="exact"/>
        <w:jc w:val="both"/>
        <w:rPr>
          <w:rFonts w:ascii="PT Sans" w:hAnsi="PT Sans" w:cs="Arial"/>
          <w:szCs w:val="22"/>
        </w:rPr>
      </w:pPr>
    </w:p>
    <w:tbl>
      <w:tblPr>
        <w:tblW w:w="9889" w:type="dxa"/>
        <w:tblBorders>
          <w:top w:val="single" w:sz="4" w:space="0" w:color="006EB7"/>
          <w:left w:val="single" w:sz="4" w:space="0" w:color="006EB7"/>
          <w:bottom w:val="single" w:sz="4" w:space="0" w:color="006EB7"/>
          <w:right w:val="single" w:sz="4" w:space="0" w:color="006EB7"/>
          <w:insideH w:val="single" w:sz="4" w:space="0" w:color="006EB7"/>
          <w:insideV w:val="single" w:sz="4" w:space="0" w:color="006EB7"/>
        </w:tblBorders>
        <w:tblLook w:val="04A0" w:firstRow="1" w:lastRow="0" w:firstColumn="1" w:lastColumn="0" w:noHBand="0" w:noVBand="1"/>
      </w:tblPr>
      <w:tblGrid>
        <w:gridCol w:w="1951"/>
        <w:gridCol w:w="7938"/>
      </w:tblGrid>
      <w:tr w:rsidR="00AB42BA" w:rsidRPr="00737B91" w:rsidTr="006D664E">
        <w:tc>
          <w:tcPr>
            <w:tcW w:w="1951" w:type="dxa"/>
            <w:shd w:val="clear" w:color="auto" w:fill="B2D3E9"/>
          </w:tcPr>
          <w:p w:rsidR="00AB42BA" w:rsidRPr="00737B91" w:rsidRDefault="00AB42BA" w:rsidP="006D664E">
            <w:pPr>
              <w:spacing w:line="320" w:lineRule="exact"/>
              <w:rPr>
                <w:rFonts w:ascii="PT Sans" w:hAnsi="PT Sans" w:cs="Arial"/>
                <w:b/>
                <w:sz w:val="20"/>
                <w:szCs w:val="22"/>
              </w:rPr>
            </w:pPr>
            <w:r w:rsidRPr="00737B91">
              <w:rPr>
                <w:rFonts w:ascii="PT Sans" w:hAnsi="PT Sans" w:cs="Arial"/>
                <w:b/>
                <w:sz w:val="20"/>
                <w:szCs w:val="22"/>
              </w:rPr>
              <w:t>Articolo 1 Costituzione</w:t>
            </w:r>
          </w:p>
        </w:tc>
        <w:tc>
          <w:tcPr>
            <w:tcW w:w="7938" w:type="dxa"/>
            <w:shd w:val="clear" w:color="auto" w:fill="auto"/>
          </w:tcPr>
          <w:p w:rsidR="00AB42BA" w:rsidRPr="00737B91" w:rsidRDefault="00AB42BA" w:rsidP="006D664E">
            <w:pPr>
              <w:spacing w:line="280" w:lineRule="exact"/>
              <w:jc w:val="both"/>
              <w:rPr>
                <w:rFonts w:ascii="PT Sans" w:hAnsi="PT Sans" w:cs="Arial"/>
                <w:sz w:val="20"/>
                <w:szCs w:val="22"/>
              </w:rPr>
            </w:pPr>
            <w:r w:rsidRPr="00737B91">
              <w:rPr>
                <w:rFonts w:ascii="PT Sans" w:hAnsi="PT Sans" w:cs="Arial"/>
                <w:sz w:val="20"/>
                <w:szCs w:val="22"/>
              </w:rPr>
              <w:t>I soggetti che presentano i vincoli di carattere finanziario, economico e organizzativo di cui all'art</w:t>
            </w:r>
            <w:r>
              <w:rPr>
                <w:rFonts w:ascii="PT Sans" w:hAnsi="PT Sans" w:cs="Arial"/>
                <w:sz w:val="20"/>
                <w:szCs w:val="22"/>
              </w:rPr>
              <w:t xml:space="preserve">icolo </w:t>
            </w:r>
            <w:r w:rsidRPr="00737B91">
              <w:rPr>
                <w:rFonts w:ascii="PT Sans" w:hAnsi="PT Sans" w:cs="Arial"/>
                <w:sz w:val="20"/>
                <w:szCs w:val="22"/>
              </w:rPr>
              <w:t>70-</w:t>
            </w:r>
            <w:r w:rsidRPr="00737B91">
              <w:rPr>
                <w:rFonts w:ascii="PT Sans" w:hAnsi="PT Sans" w:cs="Arial"/>
                <w:i/>
                <w:sz w:val="20"/>
                <w:szCs w:val="22"/>
              </w:rPr>
              <w:t>ter</w:t>
            </w:r>
            <w:r>
              <w:rPr>
                <w:rFonts w:ascii="PT Sans" w:hAnsi="PT Sans" w:cs="Arial"/>
                <w:i/>
                <w:sz w:val="20"/>
                <w:szCs w:val="22"/>
              </w:rPr>
              <w:t>,</w:t>
            </w:r>
            <w:r w:rsidRPr="00737B91">
              <w:rPr>
                <w:rFonts w:ascii="PT Sans" w:hAnsi="PT Sans" w:cs="Arial"/>
                <w:sz w:val="20"/>
                <w:szCs w:val="22"/>
              </w:rPr>
              <w:t xml:space="preserve"> D</w:t>
            </w:r>
            <w:r>
              <w:rPr>
                <w:rFonts w:ascii="PT Sans" w:hAnsi="PT Sans" w:cs="Arial"/>
                <w:sz w:val="20"/>
                <w:szCs w:val="22"/>
              </w:rPr>
              <w:t>.</w:t>
            </w:r>
            <w:r w:rsidRPr="00737B91">
              <w:rPr>
                <w:rFonts w:ascii="PT Sans" w:hAnsi="PT Sans" w:cs="Arial"/>
                <w:sz w:val="20"/>
                <w:szCs w:val="22"/>
              </w:rPr>
              <w:t>P</w:t>
            </w:r>
            <w:r>
              <w:rPr>
                <w:rFonts w:ascii="PT Sans" w:hAnsi="PT Sans" w:cs="Arial"/>
                <w:sz w:val="20"/>
                <w:szCs w:val="22"/>
              </w:rPr>
              <w:t>.</w:t>
            </w:r>
            <w:r w:rsidRPr="00737B91">
              <w:rPr>
                <w:rFonts w:ascii="PT Sans" w:hAnsi="PT Sans" w:cs="Arial"/>
                <w:sz w:val="20"/>
                <w:szCs w:val="22"/>
              </w:rPr>
              <w:t>R</w:t>
            </w:r>
            <w:r>
              <w:rPr>
                <w:rFonts w:ascii="PT Sans" w:hAnsi="PT Sans" w:cs="Arial"/>
                <w:sz w:val="20"/>
                <w:szCs w:val="22"/>
              </w:rPr>
              <w:t>.</w:t>
            </w:r>
            <w:r w:rsidRPr="00737B91">
              <w:rPr>
                <w:rFonts w:ascii="PT Sans" w:hAnsi="PT Sans" w:cs="Arial"/>
                <w:sz w:val="20"/>
                <w:szCs w:val="22"/>
              </w:rPr>
              <w:t xml:space="preserve"> 633/</w:t>
            </w:r>
            <w:r>
              <w:rPr>
                <w:rFonts w:ascii="PT Sans" w:hAnsi="PT Sans" w:cs="Arial"/>
                <w:sz w:val="20"/>
                <w:szCs w:val="22"/>
              </w:rPr>
              <w:t>19</w:t>
            </w:r>
            <w:r w:rsidRPr="00737B91">
              <w:rPr>
                <w:rFonts w:ascii="PT Sans" w:hAnsi="PT Sans" w:cs="Arial"/>
                <w:sz w:val="20"/>
                <w:szCs w:val="22"/>
              </w:rPr>
              <w:t>72 possono optare per la costituzione del Gruppo Iva ai sensi del successivo art</w:t>
            </w:r>
            <w:r>
              <w:rPr>
                <w:rFonts w:ascii="PT Sans" w:hAnsi="PT Sans" w:cs="Arial"/>
                <w:sz w:val="20"/>
                <w:szCs w:val="22"/>
              </w:rPr>
              <w:t xml:space="preserve">icolo </w:t>
            </w:r>
            <w:r w:rsidRPr="00737B91">
              <w:rPr>
                <w:rFonts w:ascii="PT Sans" w:hAnsi="PT Sans" w:cs="Arial"/>
                <w:sz w:val="20"/>
                <w:szCs w:val="22"/>
              </w:rPr>
              <w:t>70-</w:t>
            </w:r>
            <w:r w:rsidRPr="00737B91">
              <w:rPr>
                <w:rFonts w:ascii="PT Sans" w:hAnsi="PT Sans" w:cs="Arial"/>
                <w:i/>
                <w:sz w:val="20"/>
                <w:szCs w:val="22"/>
              </w:rPr>
              <w:t>quater</w:t>
            </w:r>
            <w:r w:rsidRPr="00737B91">
              <w:rPr>
                <w:rFonts w:ascii="PT Sans" w:hAnsi="PT Sans" w:cs="Arial"/>
                <w:sz w:val="20"/>
                <w:szCs w:val="22"/>
              </w:rPr>
              <w:t>. Tali vincoli devono sussistere al momento dell'esercizio dell'opzione per la costituzione del Gruppo Iva e comunque già dal 1° luglio dell'anno precedente a quello in cui ha effetto l'opzione.</w:t>
            </w:r>
          </w:p>
          <w:p w:rsidR="00AB42BA" w:rsidRPr="00737B91" w:rsidRDefault="00AB42BA" w:rsidP="006D664E">
            <w:pPr>
              <w:spacing w:line="280" w:lineRule="exact"/>
              <w:jc w:val="both"/>
              <w:rPr>
                <w:rFonts w:ascii="PT Sans" w:hAnsi="PT Sans" w:cs="Arial"/>
                <w:sz w:val="20"/>
                <w:szCs w:val="22"/>
              </w:rPr>
            </w:pPr>
            <w:r w:rsidRPr="00737B91">
              <w:rPr>
                <w:rFonts w:ascii="PT Sans" w:hAnsi="PT Sans" w:cs="Arial"/>
                <w:sz w:val="20"/>
                <w:szCs w:val="22"/>
              </w:rPr>
              <w:t>Il rappresentante del Gruppo Iva presenta in via telematica la dichiarazione relativa alla costituzione del Gruppo Iva sottoscritta da tutti i partecipanti, con modalità da stabilirsi con provvedimento direttoriale. La stessa dichiarazione va utilizzata per comunicare inclusioni, esclusioni, variazioni, revoche opzioni etc.</w:t>
            </w:r>
          </w:p>
          <w:p w:rsidR="00AB42BA" w:rsidRPr="00737B91" w:rsidRDefault="00AB42BA" w:rsidP="006D664E">
            <w:pPr>
              <w:spacing w:line="280" w:lineRule="exact"/>
              <w:jc w:val="both"/>
              <w:rPr>
                <w:rFonts w:ascii="PT Sans" w:hAnsi="PT Sans" w:cs="Arial"/>
                <w:sz w:val="20"/>
                <w:szCs w:val="22"/>
              </w:rPr>
            </w:pPr>
            <w:r w:rsidRPr="00737B91">
              <w:rPr>
                <w:rFonts w:ascii="PT Sans" w:hAnsi="PT Sans" w:cs="Arial"/>
                <w:sz w:val="20"/>
                <w:szCs w:val="22"/>
              </w:rPr>
              <w:t>Al Gruppo Iva viene attribuito un proprio numero di partita Iva che va riportato nelle dichiarazioni e in ogni altro atto o comunicazione relativi all'applicazione dell’Iva. L'Agenzia delle Entrate renderà disponibili a chiunque le informazioni utili a verificare la validità della partita Iva del Gruppo e i dati dei suoi partecipanti.</w:t>
            </w:r>
          </w:p>
        </w:tc>
      </w:tr>
      <w:tr w:rsidR="00AB42BA" w:rsidRPr="00737B91" w:rsidTr="006D664E">
        <w:tc>
          <w:tcPr>
            <w:tcW w:w="1951" w:type="dxa"/>
            <w:shd w:val="clear" w:color="auto" w:fill="B2D3E9"/>
          </w:tcPr>
          <w:p w:rsidR="00AB42BA" w:rsidRPr="00737B91" w:rsidRDefault="00AB42BA" w:rsidP="006D664E">
            <w:pPr>
              <w:spacing w:line="320" w:lineRule="exact"/>
              <w:rPr>
                <w:rFonts w:ascii="PT Sans" w:hAnsi="PT Sans" w:cs="Arial"/>
                <w:b/>
                <w:sz w:val="20"/>
                <w:szCs w:val="22"/>
              </w:rPr>
            </w:pPr>
            <w:r w:rsidRPr="00737B91">
              <w:rPr>
                <w:rFonts w:ascii="PT Sans" w:hAnsi="PT Sans" w:cs="Arial"/>
                <w:b/>
                <w:sz w:val="20"/>
                <w:szCs w:val="22"/>
              </w:rPr>
              <w:t>Articolo 2</w:t>
            </w:r>
          </w:p>
          <w:p w:rsidR="00AB42BA" w:rsidRPr="00737B91" w:rsidRDefault="00AB42BA" w:rsidP="006D664E">
            <w:pPr>
              <w:spacing w:line="320" w:lineRule="exact"/>
              <w:rPr>
                <w:rFonts w:ascii="PT Sans" w:hAnsi="PT Sans" w:cs="Arial"/>
                <w:b/>
                <w:sz w:val="20"/>
                <w:szCs w:val="22"/>
              </w:rPr>
            </w:pPr>
            <w:r w:rsidRPr="00737B91">
              <w:rPr>
                <w:rFonts w:ascii="PT Sans" w:hAnsi="PT Sans" w:cs="Arial"/>
                <w:b/>
                <w:sz w:val="20"/>
                <w:szCs w:val="22"/>
              </w:rPr>
              <w:t xml:space="preserve">Diritti ed obblighi </w:t>
            </w:r>
          </w:p>
        </w:tc>
        <w:tc>
          <w:tcPr>
            <w:tcW w:w="7938" w:type="dxa"/>
            <w:shd w:val="clear" w:color="auto" w:fill="auto"/>
          </w:tcPr>
          <w:p w:rsidR="00AB42BA" w:rsidRPr="00737B91" w:rsidRDefault="00AB42BA" w:rsidP="006D664E">
            <w:pPr>
              <w:spacing w:line="280" w:lineRule="exact"/>
              <w:jc w:val="both"/>
              <w:rPr>
                <w:rFonts w:ascii="PT Sans" w:hAnsi="PT Sans" w:cs="Arial"/>
                <w:sz w:val="20"/>
                <w:szCs w:val="22"/>
              </w:rPr>
            </w:pPr>
            <w:r w:rsidRPr="00737B91">
              <w:rPr>
                <w:rFonts w:ascii="PT Sans" w:hAnsi="PT Sans" w:cs="Arial"/>
                <w:sz w:val="20"/>
                <w:szCs w:val="22"/>
              </w:rPr>
              <w:t>Il Gruppo Iva assume obblighi e diritti derivanti dall'applicazione delle disposizioni in materia di Iva con riferimento alle operazioni per le quali l'imposta diventa esigibile o il diritto alla detrazione è esercitabile a partire dalla data in cui ha effetto l'opzione per la costituzione del Gruppo.</w:t>
            </w:r>
          </w:p>
          <w:p w:rsidR="00AB42BA" w:rsidRPr="00737B91" w:rsidRDefault="00AB42BA" w:rsidP="006D664E">
            <w:pPr>
              <w:spacing w:line="280" w:lineRule="exact"/>
              <w:jc w:val="both"/>
              <w:rPr>
                <w:rFonts w:ascii="PT Sans" w:hAnsi="PT Sans" w:cs="Arial"/>
                <w:sz w:val="20"/>
                <w:szCs w:val="22"/>
              </w:rPr>
            </w:pPr>
            <w:r w:rsidRPr="00737B91">
              <w:rPr>
                <w:rFonts w:ascii="PT Sans" w:hAnsi="PT Sans" w:cs="Arial"/>
                <w:sz w:val="20"/>
                <w:szCs w:val="22"/>
              </w:rPr>
              <w:t xml:space="preserve">Il diritto all'acquisto di beni e servizi senza il pagamento dell'imposta sul valore aggiunto (lettere di intento) </w:t>
            </w:r>
            <w:r>
              <w:rPr>
                <w:rFonts w:ascii="PT Sans" w:hAnsi="PT Sans" w:cs="Arial"/>
                <w:sz w:val="20"/>
                <w:szCs w:val="22"/>
              </w:rPr>
              <w:t>è</w:t>
            </w:r>
            <w:r w:rsidRPr="00737B91">
              <w:rPr>
                <w:rFonts w:ascii="PT Sans" w:hAnsi="PT Sans" w:cs="Arial"/>
                <w:sz w:val="20"/>
                <w:szCs w:val="22"/>
              </w:rPr>
              <w:t xml:space="preserve"> esercitato dal Gruppo Iva, anche ove maturato dai singoli partecipanti nell'anno antecedente l'ingresso e dai singoli partecipanti a seguito della cessazione del Gruppo Iva, in proporzione alle operazioni, a ciascuno di essi riferibili, che ne hanno costituito il presupposto.</w:t>
            </w:r>
          </w:p>
          <w:p w:rsidR="00AB42BA" w:rsidRPr="00737B91" w:rsidRDefault="00AB42BA" w:rsidP="006D664E">
            <w:pPr>
              <w:spacing w:line="280" w:lineRule="exact"/>
              <w:jc w:val="both"/>
              <w:rPr>
                <w:rFonts w:ascii="PT Sans" w:hAnsi="PT Sans" w:cs="Arial"/>
                <w:sz w:val="20"/>
                <w:szCs w:val="22"/>
              </w:rPr>
            </w:pPr>
            <w:r w:rsidRPr="00737B91">
              <w:rPr>
                <w:rFonts w:ascii="PT Sans" w:hAnsi="PT Sans" w:cs="Arial"/>
                <w:sz w:val="20"/>
                <w:szCs w:val="22"/>
              </w:rPr>
              <w:t>Il Gruppo Iva, per effetto della sua costituzione, applica le disposizioni relative alla rettifica della detrazione con riferimento alla data in cui i beni e i servizi sono stati acquistati dai partecipanti.</w:t>
            </w:r>
          </w:p>
          <w:p w:rsidR="00AB42BA" w:rsidRPr="00737B91" w:rsidRDefault="00AB42BA" w:rsidP="006D664E">
            <w:pPr>
              <w:spacing w:line="280" w:lineRule="exact"/>
              <w:jc w:val="both"/>
              <w:rPr>
                <w:rFonts w:ascii="PT Sans" w:hAnsi="PT Sans" w:cs="Arial"/>
                <w:sz w:val="20"/>
                <w:szCs w:val="22"/>
              </w:rPr>
            </w:pPr>
            <w:r w:rsidRPr="00737B91">
              <w:rPr>
                <w:rFonts w:ascii="PT Sans" w:hAnsi="PT Sans" w:cs="Arial"/>
                <w:sz w:val="20"/>
                <w:szCs w:val="22"/>
              </w:rPr>
              <w:t>Il credito Iva maturato e non utilizzato dal Gruppo Iva prima della cessazione può essere chiesto a rimborso o computato in detrazione dal rappresentante del Gruppo nelle proprie liquidazioni o nella propria dichiarazione annuale.</w:t>
            </w:r>
          </w:p>
        </w:tc>
      </w:tr>
      <w:tr w:rsidR="00AB42BA" w:rsidRPr="00737B91" w:rsidTr="006D664E">
        <w:tc>
          <w:tcPr>
            <w:tcW w:w="1951" w:type="dxa"/>
            <w:shd w:val="clear" w:color="auto" w:fill="B2D3E9"/>
          </w:tcPr>
          <w:p w:rsidR="00AB42BA" w:rsidRPr="00737B91" w:rsidRDefault="00AB42BA" w:rsidP="006D664E">
            <w:pPr>
              <w:spacing w:line="320" w:lineRule="exact"/>
              <w:rPr>
                <w:rFonts w:ascii="PT Sans" w:hAnsi="PT Sans" w:cs="Arial"/>
                <w:b/>
                <w:sz w:val="20"/>
                <w:szCs w:val="22"/>
              </w:rPr>
            </w:pPr>
            <w:r w:rsidRPr="00737B91">
              <w:rPr>
                <w:rFonts w:ascii="PT Sans" w:hAnsi="PT Sans" w:cs="Arial"/>
                <w:b/>
                <w:sz w:val="20"/>
                <w:szCs w:val="22"/>
              </w:rPr>
              <w:t>Articolo 3</w:t>
            </w:r>
          </w:p>
          <w:p w:rsidR="00AB42BA" w:rsidRPr="00737B91" w:rsidRDefault="00AB42BA" w:rsidP="006D664E">
            <w:pPr>
              <w:spacing w:line="320" w:lineRule="exact"/>
              <w:rPr>
                <w:rFonts w:ascii="PT Sans" w:hAnsi="PT Sans" w:cs="Arial"/>
                <w:b/>
                <w:sz w:val="20"/>
                <w:szCs w:val="22"/>
              </w:rPr>
            </w:pPr>
            <w:r w:rsidRPr="00737B91">
              <w:rPr>
                <w:rFonts w:ascii="PT Sans" w:hAnsi="PT Sans" w:cs="Arial"/>
                <w:b/>
                <w:sz w:val="20"/>
                <w:szCs w:val="22"/>
              </w:rPr>
              <w:t>Fatturazione e certificazione dei corrispettivi</w:t>
            </w:r>
          </w:p>
        </w:tc>
        <w:tc>
          <w:tcPr>
            <w:tcW w:w="7938" w:type="dxa"/>
            <w:shd w:val="clear" w:color="auto" w:fill="auto"/>
          </w:tcPr>
          <w:p w:rsidR="00AB42BA" w:rsidRPr="00737B91" w:rsidRDefault="00AB42BA" w:rsidP="006D664E">
            <w:pPr>
              <w:spacing w:line="260" w:lineRule="exact"/>
              <w:jc w:val="both"/>
              <w:rPr>
                <w:rFonts w:ascii="PT Sans" w:hAnsi="PT Sans" w:cs="Arial"/>
                <w:sz w:val="20"/>
                <w:szCs w:val="22"/>
              </w:rPr>
            </w:pPr>
            <w:r w:rsidRPr="00737B91">
              <w:rPr>
                <w:rFonts w:ascii="PT Sans" w:hAnsi="PT Sans" w:cs="Arial"/>
                <w:sz w:val="20"/>
                <w:szCs w:val="22"/>
              </w:rPr>
              <w:t>Operazioni attive: il rappresentante del Gruppo o i partecipanti documentano le cessioni di beni e le prestazioni di servizi indicando, oltre al numero di partita Iva del Gruppo, anche il codice fiscale del soggetto partecipante che ha realizzato l'operazione.</w:t>
            </w:r>
          </w:p>
          <w:p w:rsidR="00AB42BA" w:rsidRPr="00737B91" w:rsidRDefault="00AB42BA" w:rsidP="006D664E">
            <w:pPr>
              <w:spacing w:line="260" w:lineRule="exact"/>
              <w:jc w:val="both"/>
              <w:rPr>
                <w:rFonts w:ascii="PT Sans" w:hAnsi="PT Sans" w:cs="Arial"/>
                <w:sz w:val="20"/>
                <w:szCs w:val="22"/>
              </w:rPr>
            </w:pPr>
            <w:r w:rsidRPr="00737B91">
              <w:rPr>
                <w:rFonts w:ascii="PT Sans" w:hAnsi="PT Sans" w:cs="Arial"/>
                <w:sz w:val="20"/>
                <w:szCs w:val="22"/>
              </w:rPr>
              <w:t xml:space="preserve">Operazioni passive: il rappresentante del Gruppo o i partecipanti comunicano ai fornitori la partita Iva del Gruppo e il codice fiscale del singolo acquirente, verificando al momento della </w:t>
            </w:r>
            <w:r w:rsidRPr="00737B91">
              <w:rPr>
                <w:rFonts w:ascii="PT Sans" w:hAnsi="PT Sans" w:cs="Arial"/>
                <w:sz w:val="20"/>
                <w:szCs w:val="22"/>
              </w:rPr>
              <w:lastRenderedPageBreak/>
              <w:t>ricezione l'indicazione del codice fiscale e provvedendo al suo inserimento ove mancante.</w:t>
            </w:r>
          </w:p>
          <w:p w:rsidR="00AB42BA" w:rsidRPr="00737B91" w:rsidRDefault="00AB42BA" w:rsidP="006D664E">
            <w:pPr>
              <w:spacing w:line="260" w:lineRule="exact"/>
              <w:jc w:val="both"/>
              <w:rPr>
                <w:rFonts w:ascii="PT Sans" w:hAnsi="PT Sans" w:cs="Arial"/>
                <w:sz w:val="20"/>
                <w:szCs w:val="22"/>
              </w:rPr>
            </w:pPr>
            <w:r w:rsidRPr="00737B91">
              <w:rPr>
                <w:rFonts w:ascii="PT Sans" w:hAnsi="PT Sans" w:cs="Arial"/>
                <w:sz w:val="20"/>
                <w:szCs w:val="22"/>
              </w:rPr>
              <w:t>Le operazioni effettuate tra i soggetti partecipanti al Gruppo Iva non sono considerate cessioni di beni e prestazioni di servizi, restando tuttavia fermo l'obbligo di rilevare tali operazioni nell'ambito delle scritture contabili previste ai fini reddituali.</w:t>
            </w:r>
          </w:p>
        </w:tc>
      </w:tr>
      <w:tr w:rsidR="00AB42BA" w:rsidRPr="00737B91" w:rsidTr="006D664E">
        <w:tc>
          <w:tcPr>
            <w:tcW w:w="1951" w:type="dxa"/>
            <w:shd w:val="clear" w:color="auto" w:fill="B2D3E9"/>
          </w:tcPr>
          <w:p w:rsidR="00AB42BA" w:rsidRPr="00737B91" w:rsidRDefault="00AB42BA" w:rsidP="006D664E">
            <w:pPr>
              <w:spacing w:line="320" w:lineRule="exact"/>
              <w:rPr>
                <w:rFonts w:ascii="PT Sans" w:hAnsi="PT Sans" w:cs="Arial"/>
                <w:b/>
                <w:sz w:val="20"/>
                <w:szCs w:val="22"/>
              </w:rPr>
            </w:pPr>
            <w:r w:rsidRPr="00737B91">
              <w:rPr>
                <w:rFonts w:ascii="PT Sans" w:hAnsi="PT Sans" w:cs="Arial"/>
                <w:b/>
                <w:sz w:val="20"/>
                <w:szCs w:val="22"/>
              </w:rPr>
              <w:lastRenderedPageBreak/>
              <w:t>Articolo 4</w:t>
            </w:r>
          </w:p>
          <w:p w:rsidR="00AB42BA" w:rsidRPr="00737B91" w:rsidRDefault="00AB42BA" w:rsidP="006D664E">
            <w:pPr>
              <w:spacing w:line="320" w:lineRule="exact"/>
              <w:rPr>
                <w:rFonts w:ascii="PT Sans" w:hAnsi="PT Sans" w:cs="Arial"/>
                <w:b/>
                <w:sz w:val="20"/>
                <w:szCs w:val="22"/>
              </w:rPr>
            </w:pPr>
            <w:r w:rsidRPr="00737B91">
              <w:rPr>
                <w:rFonts w:ascii="PT Sans" w:hAnsi="PT Sans" w:cs="Arial"/>
                <w:b/>
                <w:sz w:val="20"/>
                <w:szCs w:val="22"/>
              </w:rPr>
              <w:t>Registrazioni, liquidazioni e versamenti</w:t>
            </w:r>
          </w:p>
        </w:tc>
        <w:tc>
          <w:tcPr>
            <w:tcW w:w="7938" w:type="dxa"/>
            <w:shd w:val="clear" w:color="auto" w:fill="auto"/>
          </w:tcPr>
          <w:p w:rsidR="00AB42BA" w:rsidRPr="00737B91" w:rsidRDefault="00AB42BA" w:rsidP="006D664E">
            <w:pPr>
              <w:spacing w:line="260" w:lineRule="exact"/>
              <w:jc w:val="both"/>
              <w:rPr>
                <w:rFonts w:ascii="PT Sans" w:hAnsi="PT Sans" w:cs="Arial"/>
                <w:sz w:val="20"/>
                <w:szCs w:val="22"/>
              </w:rPr>
            </w:pPr>
            <w:r w:rsidRPr="00737B91">
              <w:rPr>
                <w:rFonts w:ascii="PT Sans" w:hAnsi="PT Sans" w:cs="Arial"/>
                <w:sz w:val="20"/>
                <w:szCs w:val="22"/>
              </w:rPr>
              <w:t>Il rappresentante del Gruppo Iva o i partecipanti effettuano le registrazioni di cui agli art</w:t>
            </w:r>
            <w:r>
              <w:rPr>
                <w:rFonts w:ascii="PT Sans" w:hAnsi="PT Sans" w:cs="Arial"/>
                <w:sz w:val="20"/>
                <w:szCs w:val="22"/>
              </w:rPr>
              <w:t xml:space="preserve">icoli </w:t>
            </w:r>
            <w:r w:rsidRPr="00737B91">
              <w:rPr>
                <w:rFonts w:ascii="PT Sans" w:hAnsi="PT Sans" w:cs="Arial"/>
                <w:sz w:val="20"/>
                <w:szCs w:val="22"/>
              </w:rPr>
              <w:t>23, 24 e 25</w:t>
            </w:r>
            <w:r>
              <w:rPr>
                <w:rFonts w:ascii="PT Sans" w:hAnsi="PT Sans" w:cs="Arial"/>
                <w:sz w:val="20"/>
                <w:szCs w:val="22"/>
              </w:rPr>
              <w:t>,</w:t>
            </w:r>
            <w:r w:rsidRPr="00737B91">
              <w:rPr>
                <w:rFonts w:ascii="PT Sans" w:hAnsi="PT Sans" w:cs="Arial"/>
                <w:sz w:val="20"/>
                <w:szCs w:val="22"/>
              </w:rPr>
              <w:t xml:space="preserve"> D</w:t>
            </w:r>
            <w:r>
              <w:rPr>
                <w:rFonts w:ascii="PT Sans" w:hAnsi="PT Sans" w:cs="Arial"/>
                <w:sz w:val="20"/>
                <w:szCs w:val="22"/>
              </w:rPr>
              <w:t>.</w:t>
            </w:r>
            <w:r w:rsidRPr="00737B91">
              <w:rPr>
                <w:rFonts w:ascii="PT Sans" w:hAnsi="PT Sans" w:cs="Arial"/>
                <w:sz w:val="20"/>
                <w:szCs w:val="22"/>
              </w:rPr>
              <w:t>P</w:t>
            </w:r>
            <w:r>
              <w:rPr>
                <w:rFonts w:ascii="PT Sans" w:hAnsi="PT Sans" w:cs="Arial"/>
                <w:sz w:val="20"/>
                <w:szCs w:val="22"/>
              </w:rPr>
              <w:t>.</w:t>
            </w:r>
            <w:r w:rsidRPr="00737B91">
              <w:rPr>
                <w:rFonts w:ascii="PT Sans" w:hAnsi="PT Sans" w:cs="Arial"/>
                <w:sz w:val="20"/>
                <w:szCs w:val="22"/>
              </w:rPr>
              <w:t>R</w:t>
            </w:r>
            <w:r>
              <w:rPr>
                <w:rFonts w:ascii="PT Sans" w:hAnsi="PT Sans" w:cs="Arial"/>
                <w:sz w:val="20"/>
                <w:szCs w:val="22"/>
              </w:rPr>
              <w:t>.</w:t>
            </w:r>
            <w:r w:rsidRPr="00737B91">
              <w:rPr>
                <w:rFonts w:ascii="PT Sans" w:hAnsi="PT Sans" w:cs="Arial"/>
                <w:sz w:val="20"/>
                <w:szCs w:val="22"/>
              </w:rPr>
              <w:t xml:space="preserve"> 633/</w:t>
            </w:r>
            <w:r>
              <w:rPr>
                <w:rFonts w:ascii="PT Sans" w:hAnsi="PT Sans" w:cs="Arial"/>
                <w:sz w:val="20"/>
                <w:szCs w:val="22"/>
              </w:rPr>
              <w:t>19</w:t>
            </w:r>
            <w:r w:rsidRPr="00737B91">
              <w:rPr>
                <w:rFonts w:ascii="PT Sans" w:hAnsi="PT Sans" w:cs="Arial"/>
                <w:sz w:val="20"/>
                <w:szCs w:val="22"/>
              </w:rPr>
              <w:t xml:space="preserve">72 anche mediante l'adozione di appositi registri sezionali ed effettuano le liquidazioni periodiche dell'imposta. </w:t>
            </w:r>
          </w:p>
          <w:p w:rsidR="00AB42BA" w:rsidRPr="00737B91" w:rsidRDefault="00AB42BA" w:rsidP="006D664E">
            <w:pPr>
              <w:spacing w:line="260" w:lineRule="exact"/>
              <w:jc w:val="both"/>
              <w:rPr>
                <w:rFonts w:ascii="PT Sans" w:hAnsi="PT Sans" w:cs="Arial"/>
                <w:sz w:val="20"/>
                <w:szCs w:val="22"/>
              </w:rPr>
            </w:pPr>
            <w:r w:rsidRPr="00737B91">
              <w:rPr>
                <w:rFonts w:ascii="PT Sans" w:hAnsi="PT Sans" w:cs="Arial"/>
                <w:sz w:val="20"/>
                <w:szCs w:val="22"/>
              </w:rPr>
              <w:t>Ai fini del versamento dell'Iva a debito non è ammessa la compensazione “orizzontale” con i crediti relativi ad altre imposte o contributi maturati dai partecipanti al Gruppo e il credito Iva annuale o infrannuale maturato dal Gruppo Iva non può essere utilizzato in compensazione “orizzontale” con i debiti relativi ad altre imposte e contributi dei partecipanti.</w:t>
            </w:r>
          </w:p>
        </w:tc>
      </w:tr>
      <w:tr w:rsidR="00AB42BA" w:rsidRPr="00737B91" w:rsidTr="006D664E">
        <w:tc>
          <w:tcPr>
            <w:tcW w:w="1951" w:type="dxa"/>
            <w:shd w:val="clear" w:color="auto" w:fill="B2D3E9"/>
          </w:tcPr>
          <w:p w:rsidR="00AB42BA" w:rsidRPr="00737B91" w:rsidRDefault="00AB42BA" w:rsidP="006D664E">
            <w:pPr>
              <w:spacing w:line="320" w:lineRule="exact"/>
              <w:rPr>
                <w:rFonts w:ascii="PT Sans" w:hAnsi="PT Sans" w:cs="Arial"/>
                <w:b/>
                <w:sz w:val="20"/>
                <w:szCs w:val="22"/>
              </w:rPr>
            </w:pPr>
            <w:r w:rsidRPr="00737B91">
              <w:rPr>
                <w:rFonts w:ascii="PT Sans" w:hAnsi="PT Sans" w:cs="Arial"/>
                <w:b/>
                <w:sz w:val="20"/>
                <w:szCs w:val="22"/>
              </w:rPr>
              <w:t>Articolo 5</w:t>
            </w:r>
          </w:p>
          <w:p w:rsidR="00AB42BA" w:rsidRPr="00737B91" w:rsidRDefault="00AB42BA" w:rsidP="006D664E">
            <w:pPr>
              <w:spacing w:line="320" w:lineRule="exact"/>
              <w:rPr>
                <w:rFonts w:ascii="PT Sans" w:hAnsi="PT Sans" w:cs="Arial"/>
                <w:b/>
                <w:sz w:val="20"/>
                <w:szCs w:val="22"/>
              </w:rPr>
            </w:pPr>
            <w:r w:rsidRPr="00737B91">
              <w:rPr>
                <w:rFonts w:ascii="PT Sans" w:hAnsi="PT Sans" w:cs="Arial"/>
                <w:b/>
                <w:sz w:val="20"/>
                <w:szCs w:val="22"/>
              </w:rPr>
              <w:t>Comunicazioni periodiche e dichiarazioni</w:t>
            </w:r>
          </w:p>
        </w:tc>
        <w:tc>
          <w:tcPr>
            <w:tcW w:w="7938" w:type="dxa"/>
            <w:shd w:val="clear" w:color="auto" w:fill="auto"/>
          </w:tcPr>
          <w:p w:rsidR="00AB42BA" w:rsidRPr="00737B91" w:rsidRDefault="00AB42BA" w:rsidP="006D664E">
            <w:pPr>
              <w:spacing w:line="260" w:lineRule="exact"/>
              <w:jc w:val="both"/>
              <w:rPr>
                <w:rFonts w:ascii="PT Sans" w:hAnsi="PT Sans" w:cs="Arial"/>
                <w:sz w:val="20"/>
                <w:szCs w:val="22"/>
              </w:rPr>
            </w:pPr>
            <w:r w:rsidRPr="00737B91">
              <w:rPr>
                <w:rFonts w:ascii="PT Sans" w:hAnsi="PT Sans" w:cs="Arial"/>
                <w:sz w:val="20"/>
                <w:szCs w:val="22"/>
              </w:rPr>
              <w:t xml:space="preserve">Il rappresentante del Gruppo Iva effettua le comunicazioni dei dati delle fatture emesse, ricevute e registrate (Spesometro), nonché la comunicazione dei dati delle liquidazioni periodiche Iva e presenta la dichiarazione Iva annuale. </w:t>
            </w:r>
          </w:p>
        </w:tc>
      </w:tr>
      <w:tr w:rsidR="00AB42BA" w:rsidRPr="00737B91" w:rsidTr="006D664E">
        <w:tc>
          <w:tcPr>
            <w:tcW w:w="1951" w:type="dxa"/>
            <w:shd w:val="clear" w:color="auto" w:fill="B2D3E9"/>
          </w:tcPr>
          <w:p w:rsidR="00AB42BA" w:rsidRPr="00737B91" w:rsidRDefault="00AB42BA" w:rsidP="006D664E">
            <w:pPr>
              <w:spacing w:line="320" w:lineRule="exact"/>
              <w:rPr>
                <w:rFonts w:ascii="PT Sans" w:hAnsi="PT Sans" w:cs="Arial"/>
                <w:b/>
                <w:sz w:val="20"/>
                <w:szCs w:val="22"/>
              </w:rPr>
            </w:pPr>
            <w:r w:rsidRPr="00737B91">
              <w:rPr>
                <w:rFonts w:ascii="PT Sans" w:hAnsi="PT Sans" w:cs="Arial"/>
                <w:b/>
                <w:sz w:val="20"/>
                <w:szCs w:val="22"/>
              </w:rPr>
              <w:t>Articolo Rimborsi Iva</w:t>
            </w:r>
          </w:p>
        </w:tc>
        <w:tc>
          <w:tcPr>
            <w:tcW w:w="7938" w:type="dxa"/>
            <w:shd w:val="clear" w:color="auto" w:fill="auto"/>
          </w:tcPr>
          <w:p w:rsidR="00AB42BA" w:rsidRPr="00737B91" w:rsidRDefault="00AB42BA" w:rsidP="006D664E">
            <w:pPr>
              <w:spacing w:line="260" w:lineRule="exact"/>
              <w:jc w:val="both"/>
              <w:rPr>
                <w:rFonts w:ascii="PT Sans" w:hAnsi="PT Sans" w:cs="Arial"/>
                <w:sz w:val="20"/>
                <w:szCs w:val="22"/>
              </w:rPr>
            </w:pPr>
            <w:r w:rsidRPr="00737B91">
              <w:rPr>
                <w:rFonts w:ascii="PT Sans" w:hAnsi="PT Sans" w:cs="Arial"/>
                <w:sz w:val="20"/>
                <w:szCs w:val="22"/>
              </w:rPr>
              <w:t>I rimborsi Iva, in presenza dei presupposti di legge di cui all’art</w:t>
            </w:r>
            <w:r>
              <w:rPr>
                <w:rFonts w:ascii="PT Sans" w:hAnsi="PT Sans" w:cs="Arial"/>
                <w:sz w:val="20"/>
                <w:szCs w:val="22"/>
              </w:rPr>
              <w:t xml:space="preserve">icolo </w:t>
            </w:r>
            <w:r w:rsidRPr="00737B91">
              <w:rPr>
                <w:rFonts w:ascii="PT Sans" w:hAnsi="PT Sans" w:cs="Arial"/>
                <w:sz w:val="20"/>
                <w:szCs w:val="22"/>
              </w:rPr>
              <w:t>30</w:t>
            </w:r>
            <w:r>
              <w:rPr>
                <w:rFonts w:ascii="PT Sans" w:hAnsi="PT Sans" w:cs="Arial"/>
                <w:sz w:val="20"/>
                <w:szCs w:val="22"/>
              </w:rPr>
              <w:t>,</w:t>
            </w:r>
            <w:r w:rsidRPr="00737B91">
              <w:rPr>
                <w:rFonts w:ascii="PT Sans" w:hAnsi="PT Sans" w:cs="Arial"/>
                <w:sz w:val="20"/>
                <w:szCs w:val="22"/>
              </w:rPr>
              <w:t xml:space="preserve"> D</w:t>
            </w:r>
            <w:r>
              <w:rPr>
                <w:rFonts w:ascii="PT Sans" w:hAnsi="PT Sans" w:cs="Arial"/>
                <w:sz w:val="20"/>
                <w:szCs w:val="22"/>
              </w:rPr>
              <w:t>.</w:t>
            </w:r>
            <w:r w:rsidRPr="00737B91">
              <w:rPr>
                <w:rFonts w:ascii="PT Sans" w:hAnsi="PT Sans" w:cs="Arial"/>
                <w:sz w:val="20"/>
                <w:szCs w:val="22"/>
              </w:rPr>
              <w:t>P</w:t>
            </w:r>
            <w:r>
              <w:rPr>
                <w:rFonts w:ascii="PT Sans" w:hAnsi="PT Sans" w:cs="Arial"/>
                <w:sz w:val="20"/>
                <w:szCs w:val="22"/>
              </w:rPr>
              <w:t>.</w:t>
            </w:r>
            <w:r w:rsidRPr="00737B91">
              <w:rPr>
                <w:rFonts w:ascii="PT Sans" w:hAnsi="PT Sans" w:cs="Arial"/>
                <w:sz w:val="20"/>
                <w:szCs w:val="22"/>
              </w:rPr>
              <w:t>R</w:t>
            </w:r>
            <w:r>
              <w:rPr>
                <w:rFonts w:ascii="PT Sans" w:hAnsi="PT Sans" w:cs="Arial"/>
                <w:sz w:val="20"/>
                <w:szCs w:val="22"/>
              </w:rPr>
              <w:t>.</w:t>
            </w:r>
            <w:r w:rsidRPr="00737B91">
              <w:rPr>
                <w:rFonts w:ascii="PT Sans" w:hAnsi="PT Sans" w:cs="Arial"/>
                <w:sz w:val="20"/>
                <w:szCs w:val="22"/>
              </w:rPr>
              <w:t xml:space="preserve"> 633/72 verificati in capo al Gruppo iva, sono eseguiti a richiesta del rappresentante secondo le disposizioni previste dall’art.38-bis, con le seguenti eccezioni: </w:t>
            </w:r>
          </w:p>
          <w:p w:rsidR="00AB42BA" w:rsidRPr="00737B91" w:rsidRDefault="00AB42BA" w:rsidP="006D664E">
            <w:pPr>
              <w:spacing w:line="260" w:lineRule="exact"/>
              <w:jc w:val="both"/>
              <w:rPr>
                <w:rFonts w:ascii="PT Sans" w:hAnsi="PT Sans" w:cs="Arial"/>
                <w:sz w:val="20"/>
                <w:szCs w:val="22"/>
              </w:rPr>
            </w:pPr>
            <w:r w:rsidRPr="00737B91">
              <w:rPr>
                <w:rFonts w:ascii="PT Sans" w:hAnsi="PT Sans" w:cs="Arial"/>
                <w:sz w:val="20"/>
                <w:szCs w:val="22"/>
              </w:rPr>
              <w:t>- la dichiarazione sostitutiva di atto di notorietà prevista per i rimborsi di importo superiore a 30.000 euro deve attestare i requisiti di solidità patrimoniale e di continuità aziendale prendendo a riferimento la sommatoria dei valori di ciascun partecipante al Gruppo Iva nonché il requisito di regolarità contributiva da parte di tutti i componenti del Gruppo Iva;</w:t>
            </w:r>
          </w:p>
          <w:p w:rsidR="00AB42BA" w:rsidRPr="00737B91" w:rsidRDefault="00AB42BA" w:rsidP="006D664E">
            <w:pPr>
              <w:spacing w:line="260" w:lineRule="exact"/>
              <w:jc w:val="both"/>
              <w:rPr>
                <w:rFonts w:ascii="PT Sans" w:hAnsi="PT Sans" w:cs="Arial"/>
                <w:sz w:val="20"/>
                <w:szCs w:val="22"/>
              </w:rPr>
            </w:pPr>
            <w:r w:rsidRPr="00737B91">
              <w:rPr>
                <w:rFonts w:ascii="PT Sans" w:hAnsi="PT Sans" w:cs="Arial"/>
                <w:sz w:val="20"/>
                <w:szCs w:val="22"/>
              </w:rPr>
              <w:t>- per le due situazioni di rischio che obbligano alla garanzia (quindi no ricorso al visto di conformità) nel caso di richieste di crediti a rimborso di importi superiori a 30.000 euro (società costituite da meno di due anni e presenza di rilevanti accertamenti nel biennio precedente) la verifica va effettuata in capo a ciascun partecipante.</w:t>
            </w:r>
          </w:p>
          <w:p w:rsidR="00AB42BA" w:rsidRPr="00737B91" w:rsidRDefault="00AB42BA" w:rsidP="006D664E">
            <w:pPr>
              <w:spacing w:line="260" w:lineRule="exact"/>
              <w:jc w:val="both"/>
              <w:rPr>
                <w:rFonts w:ascii="PT Sans" w:hAnsi="PT Sans" w:cs="Arial"/>
                <w:sz w:val="20"/>
                <w:szCs w:val="22"/>
              </w:rPr>
            </w:pPr>
            <w:r w:rsidRPr="00737B91">
              <w:rPr>
                <w:rFonts w:ascii="PT Sans" w:hAnsi="PT Sans" w:cs="Arial"/>
                <w:sz w:val="20"/>
                <w:szCs w:val="22"/>
              </w:rPr>
              <w:t xml:space="preserve">L’Iva chiesta a rimborso in sede di dichiarazione annuale è cedibile dal rappresentante del Gruppo Iva su delega dei partecipanti, nel rispetto delle disposizioni di cui agli articoli 1260 e </w:t>
            </w:r>
            <w:r>
              <w:rPr>
                <w:rFonts w:ascii="PT Sans" w:hAnsi="PT Sans" w:cs="Arial"/>
                <w:sz w:val="20"/>
                <w:szCs w:val="22"/>
              </w:rPr>
              <w:t>ss,</w:t>
            </w:r>
            <w:r w:rsidRPr="00737B91">
              <w:rPr>
                <w:rFonts w:ascii="PT Sans" w:hAnsi="PT Sans" w:cs="Arial"/>
                <w:sz w:val="20"/>
                <w:szCs w:val="22"/>
              </w:rPr>
              <w:t xml:space="preserve"> c</w:t>
            </w:r>
            <w:r>
              <w:rPr>
                <w:rFonts w:ascii="PT Sans" w:hAnsi="PT Sans" w:cs="Arial"/>
                <w:sz w:val="20"/>
                <w:szCs w:val="22"/>
              </w:rPr>
              <w:t>od</w:t>
            </w:r>
            <w:r w:rsidRPr="00737B91">
              <w:rPr>
                <w:rFonts w:ascii="PT Sans" w:hAnsi="PT Sans" w:cs="Arial"/>
                <w:sz w:val="20"/>
                <w:szCs w:val="22"/>
              </w:rPr>
              <w:t>.</w:t>
            </w:r>
            <w:r>
              <w:rPr>
                <w:rFonts w:ascii="PT Sans" w:hAnsi="PT Sans" w:cs="Arial"/>
                <w:sz w:val="20"/>
                <w:szCs w:val="22"/>
              </w:rPr>
              <w:t xml:space="preserve"> </w:t>
            </w:r>
            <w:r w:rsidRPr="00737B91">
              <w:rPr>
                <w:rFonts w:ascii="PT Sans" w:hAnsi="PT Sans" w:cs="Arial"/>
                <w:sz w:val="20"/>
                <w:szCs w:val="22"/>
              </w:rPr>
              <w:t>c</w:t>
            </w:r>
            <w:r>
              <w:rPr>
                <w:rFonts w:ascii="PT Sans" w:hAnsi="PT Sans" w:cs="Arial"/>
                <w:sz w:val="20"/>
                <w:szCs w:val="22"/>
              </w:rPr>
              <w:t>iv</w:t>
            </w:r>
            <w:r w:rsidRPr="00737B91">
              <w:rPr>
                <w:rFonts w:ascii="PT Sans" w:hAnsi="PT Sans" w:cs="Arial"/>
                <w:sz w:val="20"/>
                <w:szCs w:val="22"/>
              </w:rPr>
              <w:t>.</w:t>
            </w:r>
          </w:p>
        </w:tc>
      </w:tr>
      <w:tr w:rsidR="00AB42BA" w:rsidRPr="00737B91" w:rsidTr="006D664E">
        <w:tc>
          <w:tcPr>
            <w:tcW w:w="1951" w:type="dxa"/>
            <w:shd w:val="clear" w:color="auto" w:fill="B2D3E9"/>
          </w:tcPr>
          <w:p w:rsidR="00AB42BA" w:rsidRPr="00737B91" w:rsidRDefault="00AB42BA" w:rsidP="006D664E">
            <w:pPr>
              <w:spacing w:line="320" w:lineRule="exact"/>
              <w:rPr>
                <w:rFonts w:ascii="PT Sans" w:hAnsi="PT Sans" w:cs="Arial"/>
                <w:b/>
                <w:sz w:val="20"/>
                <w:szCs w:val="22"/>
              </w:rPr>
            </w:pPr>
            <w:r w:rsidRPr="00737B91">
              <w:rPr>
                <w:rFonts w:ascii="PT Sans" w:hAnsi="PT Sans" w:cs="Arial"/>
                <w:b/>
                <w:sz w:val="20"/>
                <w:szCs w:val="22"/>
              </w:rPr>
              <w:t>Articolo 7</w:t>
            </w:r>
          </w:p>
          <w:p w:rsidR="00AB42BA" w:rsidRPr="00737B91" w:rsidRDefault="00AB42BA" w:rsidP="006D664E">
            <w:pPr>
              <w:spacing w:line="320" w:lineRule="exact"/>
              <w:rPr>
                <w:rFonts w:ascii="PT Sans" w:hAnsi="PT Sans" w:cs="Arial"/>
                <w:b/>
                <w:sz w:val="20"/>
                <w:szCs w:val="22"/>
              </w:rPr>
            </w:pPr>
            <w:r w:rsidRPr="00737B91">
              <w:rPr>
                <w:rFonts w:ascii="PT Sans" w:hAnsi="PT Sans" w:cs="Arial"/>
                <w:b/>
                <w:sz w:val="20"/>
                <w:szCs w:val="22"/>
              </w:rPr>
              <w:t>Disposizione transitoria</w:t>
            </w:r>
          </w:p>
        </w:tc>
        <w:tc>
          <w:tcPr>
            <w:tcW w:w="7938" w:type="dxa"/>
            <w:shd w:val="clear" w:color="auto" w:fill="auto"/>
          </w:tcPr>
          <w:p w:rsidR="00AB42BA" w:rsidRPr="00737B91" w:rsidRDefault="00AB42BA" w:rsidP="006D664E">
            <w:pPr>
              <w:spacing w:line="280" w:lineRule="exact"/>
              <w:jc w:val="both"/>
              <w:rPr>
                <w:rFonts w:ascii="PT Sans" w:hAnsi="PT Sans" w:cs="Arial"/>
                <w:sz w:val="20"/>
                <w:szCs w:val="22"/>
              </w:rPr>
            </w:pPr>
            <w:r w:rsidRPr="00737B91">
              <w:rPr>
                <w:rFonts w:ascii="PT Sans" w:hAnsi="PT Sans" w:cs="Arial"/>
                <w:sz w:val="20"/>
                <w:szCs w:val="22"/>
              </w:rPr>
              <w:t>In sede di prima applicazione la dichiarazione per la costituzione del Gruppo Iva ha effetto dall'anno 2019 se presentata entro il 15</w:t>
            </w:r>
            <w:r>
              <w:rPr>
                <w:rFonts w:ascii="PT Sans" w:hAnsi="PT Sans" w:cs="Arial"/>
                <w:sz w:val="20"/>
                <w:szCs w:val="22"/>
              </w:rPr>
              <w:t xml:space="preserve"> novembre </w:t>
            </w:r>
            <w:r w:rsidRPr="00737B91">
              <w:rPr>
                <w:rFonts w:ascii="PT Sans" w:hAnsi="PT Sans" w:cs="Arial"/>
                <w:sz w:val="20"/>
                <w:szCs w:val="22"/>
              </w:rPr>
              <w:t>2018, al fine di consentire ai soggetti interessati di valutare le condizioni per l'esercizio di detta opzione.</w:t>
            </w:r>
          </w:p>
        </w:tc>
      </w:tr>
    </w:tbl>
    <w:p w:rsidR="00C45D0C" w:rsidRDefault="00AB42BA" w:rsidP="00AB42BA">
      <w:pPr>
        <w:pStyle w:val="corpotestoinformativa"/>
        <w:rPr>
          <w:rFonts w:ascii="PT Sans" w:hAnsi="PT Sans"/>
        </w:rPr>
      </w:pPr>
      <w:r w:rsidRPr="00301148">
        <w:rPr>
          <w:rFonts w:ascii="PT Sans" w:hAnsi="PT Sans"/>
        </w:rPr>
        <w:br w:type="page"/>
      </w:r>
    </w:p>
    <w:tbl>
      <w:tblPr>
        <w:tblW w:w="0" w:type="auto"/>
        <w:tblBorders>
          <w:bottom w:val="single" w:sz="8" w:space="0" w:color="006EB7"/>
        </w:tblBorders>
        <w:tblLayout w:type="fixed"/>
        <w:tblLook w:val="01E0" w:firstRow="1" w:lastRow="1" w:firstColumn="1" w:lastColumn="1" w:noHBand="0" w:noVBand="0"/>
      </w:tblPr>
      <w:tblGrid>
        <w:gridCol w:w="9778"/>
      </w:tblGrid>
      <w:tr w:rsidR="00944B77" w:rsidRPr="00301148" w:rsidTr="00360487">
        <w:trPr>
          <w:trHeight w:val="567"/>
        </w:trPr>
        <w:tc>
          <w:tcPr>
            <w:tcW w:w="9778" w:type="dxa"/>
            <w:vAlign w:val="center"/>
          </w:tcPr>
          <w:p w:rsidR="00944B77" w:rsidRPr="00301148" w:rsidRDefault="00944B77" w:rsidP="00360487">
            <w:pPr>
              <w:pStyle w:val="rubrica"/>
              <w:rPr>
                <w:rFonts w:ascii="PT Sans" w:hAnsi="PT Sans"/>
                <w:u w:val="single"/>
              </w:rPr>
            </w:pPr>
            <w:r>
              <w:rPr>
                <w:rFonts w:ascii="PT Sans" w:hAnsi="PT Sans"/>
              </w:rPr>
              <w:lastRenderedPageBreak/>
              <w:t>Scadenzario</w:t>
            </w:r>
          </w:p>
        </w:tc>
      </w:tr>
    </w:tbl>
    <w:p w:rsidR="00724161" w:rsidRPr="00301148" w:rsidRDefault="00724161" w:rsidP="009D5213">
      <w:pPr>
        <w:spacing w:line="280" w:lineRule="exact"/>
        <w:ind w:left="6373"/>
        <w:jc w:val="both"/>
        <w:rPr>
          <w:rStyle w:val="firma"/>
          <w:rFonts w:ascii="PT Sans" w:hAnsi="PT Sans"/>
        </w:rPr>
      </w:pPr>
    </w:p>
    <w:p w:rsidR="00724161" w:rsidRDefault="008A37D1" w:rsidP="008A37D1">
      <w:pPr>
        <w:pStyle w:val="Normale1"/>
        <w:tabs>
          <w:tab w:val="left" w:pos="8652"/>
          <w:tab w:val="left" w:pos="9204"/>
        </w:tabs>
        <w:spacing w:line="280" w:lineRule="exact"/>
        <w:ind w:right="486"/>
        <w:jc w:val="center"/>
        <w:rPr>
          <w:rFonts w:ascii="PT Sans" w:hAnsi="PT Sans"/>
          <w:b/>
        </w:rPr>
      </w:pPr>
      <w:r w:rsidRPr="00301148">
        <w:rPr>
          <w:rFonts w:ascii="PT Sans" w:hAnsi="PT Sans"/>
          <w:b/>
        </w:rPr>
        <w:t xml:space="preserve">PRINCIPALI SCADENZE </w:t>
      </w:r>
      <w:r w:rsidR="0050750E">
        <w:rPr>
          <w:rFonts w:ascii="PT Sans" w:hAnsi="PT Sans"/>
          <w:b/>
        </w:rPr>
        <w:t>DAL 16</w:t>
      </w:r>
      <w:r w:rsidR="003A50ED">
        <w:rPr>
          <w:rFonts w:ascii="PT Sans" w:hAnsi="PT Sans"/>
          <w:b/>
        </w:rPr>
        <w:t xml:space="preserve"> MAGGIO</w:t>
      </w:r>
      <w:r w:rsidR="0050750E">
        <w:rPr>
          <w:rFonts w:ascii="PT Sans" w:hAnsi="PT Sans"/>
          <w:b/>
        </w:rPr>
        <w:t xml:space="preserve"> 2018 AL 15 </w:t>
      </w:r>
      <w:r w:rsidR="003A50ED">
        <w:rPr>
          <w:rFonts w:ascii="PT Sans" w:hAnsi="PT Sans"/>
          <w:b/>
        </w:rPr>
        <w:t>GIUGNO</w:t>
      </w:r>
      <w:r w:rsidR="0050750E">
        <w:rPr>
          <w:rFonts w:ascii="PT Sans" w:hAnsi="PT Sans"/>
          <w:b/>
        </w:rPr>
        <w:t xml:space="preserve"> 2018</w:t>
      </w:r>
    </w:p>
    <w:p w:rsidR="008A37D1" w:rsidRPr="00785290" w:rsidRDefault="008A37D1" w:rsidP="008A37D1">
      <w:pPr>
        <w:pStyle w:val="Normale1"/>
        <w:tabs>
          <w:tab w:val="left" w:pos="8652"/>
          <w:tab w:val="left" w:pos="9204"/>
        </w:tabs>
        <w:spacing w:line="280" w:lineRule="exact"/>
        <w:ind w:right="486"/>
        <w:jc w:val="center"/>
        <w:rPr>
          <w:rFonts w:ascii="PT Sans" w:hAnsi="PT Sans"/>
          <w:b/>
          <w:sz w:val="22"/>
        </w:rPr>
      </w:pPr>
    </w:p>
    <w:p w:rsidR="00724161" w:rsidRDefault="00724161" w:rsidP="00724161">
      <w:pPr>
        <w:pStyle w:val="corpotestoinformativa"/>
        <w:rPr>
          <w:rFonts w:ascii="PT Sans" w:hAnsi="PT Sans"/>
        </w:rPr>
      </w:pPr>
      <w:r w:rsidRPr="00785290">
        <w:rPr>
          <w:rFonts w:ascii="PT Sans" w:hAnsi="PT Sans"/>
        </w:rPr>
        <w:t>Di seguito evidenziamo i pr</w:t>
      </w:r>
      <w:r w:rsidR="001650F9">
        <w:rPr>
          <w:rFonts w:ascii="PT Sans" w:hAnsi="PT Sans"/>
        </w:rPr>
        <w:t>in</w:t>
      </w:r>
      <w:r w:rsidR="00773C3A">
        <w:rPr>
          <w:rFonts w:ascii="PT Sans" w:hAnsi="PT Sans"/>
        </w:rPr>
        <w:t>c</w:t>
      </w:r>
      <w:r w:rsidR="003A50ED">
        <w:rPr>
          <w:rFonts w:ascii="PT Sans" w:hAnsi="PT Sans"/>
        </w:rPr>
        <w:t>ipali adempimenti dal 16 maggio</w:t>
      </w:r>
      <w:r w:rsidRPr="00785290">
        <w:rPr>
          <w:rFonts w:ascii="PT Sans" w:hAnsi="PT Sans"/>
        </w:rPr>
        <w:t xml:space="preserve"> al 15</w:t>
      </w:r>
      <w:r w:rsidR="001650F9">
        <w:rPr>
          <w:rFonts w:ascii="PT Sans" w:hAnsi="PT Sans"/>
        </w:rPr>
        <w:t xml:space="preserve"> </w:t>
      </w:r>
      <w:r w:rsidR="003A50ED">
        <w:rPr>
          <w:rFonts w:ascii="PT Sans" w:hAnsi="PT Sans"/>
        </w:rPr>
        <w:t>giugno</w:t>
      </w:r>
      <w:r w:rsidR="005B750E">
        <w:rPr>
          <w:rFonts w:ascii="PT Sans" w:hAnsi="PT Sans"/>
        </w:rPr>
        <w:t xml:space="preserve"> 2018</w:t>
      </w:r>
      <w:r w:rsidRPr="00301148">
        <w:rPr>
          <w:rFonts w:ascii="PT Sans" w:hAnsi="PT Sans"/>
        </w:rPr>
        <w:t xml:space="preserve">, con il commento dei termini di prossima scadenza. </w:t>
      </w:r>
    </w:p>
    <w:p w:rsidR="00CA31E6" w:rsidRPr="00301148" w:rsidRDefault="00CA31E6" w:rsidP="00724161">
      <w:pPr>
        <w:pStyle w:val="corpotestoinformativa"/>
        <w:rPr>
          <w:rFonts w:ascii="PT Sans" w:hAnsi="PT Sans"/>
        </w:rPr>
      </w:pPr>
    </w:p>
    <w:tbl>
      <w:tblPr>
        <w:tblW w:w="9832" w:type="dxa"/>
        <w:tblInd w:w="-4" w:type="dxa"/>
        <w:tblBorders>
          <w:top w:val="single" w:sz="4" w:space="0" w:color="779BAD"/>
          <w:left w:val="single" w:sz="4" w:space="0" w:color="779BAD"/>
          <w:bottom w:val="single" w:sz="4" w:space="0" w:color="779BAD"/>
          <w:right w:val="single" w:sz="4" w:space="0" w:color="779BAD"/>
          <w:insideH w:val="single" w:sz="4" w:space="0" w:color="779BAD"/>
          <w:insideV w:val="single" w:sz="4" w:space="0" w:color="779BAD"/>
        </w:tblBorders>
        <w:tblLook w:val="04A0" w:firstRow="1" w:lastRow="0" w:firstColumn="1" w:lastColumn="0" w:noHBand="0" w:noVBand="1"/>
      </w:tblPr>
      <w:tblGrid>
        <w:gridCol w:w="9832"/>
      </w:tblGrid>
      <w:tr w:rsidR="00724161" w:rsidRPr="00301148" w:rsidTr="00360487">
        <w:tc>
          <w:tcPr>
            <w:tcW w:w="9832" w:type="dxa"/>
            <w:tcBorders>
              <w:top w:val="single" w:sz="12" w:space="0" w:color="779BAD"/>
              <w:left w:val="single" w:sz="12" w:space="0" w:color="779BAD"/>
              <w:bottom w:val="single" w:sz="12" w:space="0" w:color="779BAD"/>
              <w:right w:val="single" w:sz="12" w:space="0" w:color="779BAD"/>
            </w:tcBorders>
          </w:tcPr>
          <w:p w:rsidR="00724161" w:rsidRPr="00301148" w:rsidRDefault="008A37D1" w:rsidP="00A55A21">
            <w:pPr>
              <w:pBdr>
                <w:between w:val="single" w:sz="4" w:space="1" w:color="auto"/>
                <w:bar w:val="single" w:sz="4" w:color="auto"/>
              </w:pBdr>
              <w:spacing w:after="60"/>
              <w:jc w:val="both"/>
              <w:rPr>
                <w:rFonts w:ascii="PT Sans" w:hAnsi="PT Sans"/>
                <w:b/>
                <w:i/>
                <w:szCs w:val="20"/>
              </w:rPr>
            </w:pPr>
            <w:r w:rsidRPr="00841D88">
              <w:rPr>
                <w:rFonts w:ascii="PT Sans" w:hAnsi="PT Sans"/>
                <w:b/>
                <w:i/>
                <w:szCs w:val="20"/>
              </w:rPr>
              <w:t>Si segnala ai Signori clienti che le scadenze riportate tengono conto del rinvio al giorno lavorativo seguente per gli adempimenti che cadono al sabato o giorno festivo, così come stabilito dall’art</w:t>
            </w:r>
            <w:r>
              <w:rPr>
                <w:rFonts w:ascii="PT Sans" w:hAnsi="PT Sans"/>
                <w:b/>
                <w:i/>
                <w:szCs w:val="20"/>
              </w:rPr>
              <w:t xml:space="preserve">icolo </w:t>
            </w:r>
            <w:r w:rsidRPr="00841D88">
              <w:rPr>
                <w:rFonts w:ascii="PT Sans" w:hAnsi="PT Sans"/>
                <w:b/>
                <w:i/>
                <w:szCs w:val="20"/>
              </w:rPr>
              <w:t>7</w:t>
            </w:r>
            <w:r>
              <w:rPr>
                <w:rFonts w:ascii="PT Sans" w:hAnsi="PT Sans"/>
                <w:b/>
                <w:i/>
                <w:szCs w:val="20"/>
              </w:rPr>
              <w:t xml:space="preserve">, D.L. </w:t>
            </w:r>
            <w:r w:rsidRPr="00841D88">
              <w:rPr>
                <w:rFonts w:ascii="PT Sans" w:hAnsi="PT Sans"/>
                <w:b/>
                <w:i/>
                <w:szCs w:val="20"/>
              </w:rPr>
              <w:t>70/</w:t>
            </w:r>
            <w:r>
              <w:rPr>
                <w:rFonts w:ascii="PT Sans" w:hAnsi="PT Sans"/>
                <w:b/>
                <w:i/>
                <w:szCs w:val="20"/>
              </w:rPr>
              <w:t>20</w:t>
            </w:r>
            <w:r w:rsidRPr="00841D88">
              <w:rPr>
                <w:rFonts w:ascii="PT Sans" w:hAnsi="PT Sans"/>
                <w:b/>
                <w:i/>
                <w:szCs w:val="20"/>
              </w:rPr>
              <w:t>11.</w:t>
            </w:r>
          </w:p>
        </w:tc>
      </w:tr>
    </w:tbl>
    <w:p w:rsidR="00724161" w:rsidRDefault="00724161" w:rsidP="00724161">
      <w:pPr>
        <w:spacing w:line="100" w:lineRule="exact"/>
        <w:jc w:val="both"/>
        <w:rPr>
          <w:rFonts w:ascii="PT Sans" w:hAnsi="PT Sans" w:cs="Arial"/>
          <w:szCs w:val="22"/>
        </w:rPr>
      </w:pPr>
    </w:p>
    <w:p w:rsidR="00DA165A" w:rsidRDefault="00DA165A" w:rsidP="00E619C0">
      <w:pPr>
        <w:spacing w:line="100" w:lineRule="exact"/>
        <w:jc w:val="both"/>
        <w:rPr>
          <w:rFonts w:ascii="PT Sans" w:hAnsi="PT Sans" w:cs="Arial"/>
          <w:szCs w:val="22"/>
        </w:rPr>
      </w:pPr>
    </w:p>
    <w:tbl>
      <w:tblPr>
        <w:tblW w:w="0" w:type="auto"/>
        <w:tblInd w:w="108" w:type="dxa"/>
        <w:tblBorders>
          <w:top w:val="single" w:sz="4" w:space="0" w:color="779BAD"/>
          <w:left w:val="single" w:sz="4" w:space="0" w:color="779BAD"/>
          <w:bottom w:val="single" w:sz="4" w:space="0" w:color="779BAD"/>
          <w:right w:val="single" w:sz="4" w:space="0" w:color="779BAD"/>
          <w:insideH w:val="single" w:sz="4" w:space="0" w:color="779BAD"/>
          <w:insideV w:val="single" w:sz="4" w:space="0" w:color="779BAD"/>
        </w:tblBorders>
        <w:tblLook w:val="01E0" w:firstRow="1" w:lastRow="1" w:firstColumn="1" w:lastColumn="1" w:noHBand="0" w:noVBand="0"/>
      </w:tblPr>
      <w:tblGrid>
        <w:gridCol w:w="1268"/>
        <w:gridCol w:w="8478"/>
      </w:tblGrid>
      <w:tr w:rsidR="003A50ED" w:rsidRPr="00301148" w:rsidTr="006D664E">
        <w:trPr>
          <w:trHeight w:val="287"/>
        </w:trPr>
        <w:tc>
          <w:tcPr>
            <w:tcW w:w="9746" w:type="dxa"/>
            <w:gridSpan w:val="2"/>
            <w:tcBorders>
              <w:bottom w:val="single" w:sz="4" w:space="0" w:color="006EB7"/>
            </w:tcBorders>
            <w:shd w:val="clear" w:color="auto" w:fill="006EB7"/>
            <w:vAlign w:val="center"/>
          </w:tcPr>
          <w:p w:rsidR="003A50ED" w:rsidRPr="00301148" w:rsidRDefault="003A50ED" w:rsidP="006D664E">
            <w:pPr>
              <w:spacing w:before="60" w:after="100" w:line="280" w:lineRule="exact"/>
              <w:jc w:val="center"/>
              <w:rPr>
                <w:rFonts w:ascii="PT Sans" w:hAnsi="PT Sans" w:cs="Arial"/>
                <w:b/>
                <w:color w:val="FFFFFF"/>
                <w:szCs w:val="22"/>
              </w:rPr>
            </w:pPr>
            <w:r w:rsidRPr="00301148">
              <w:rPr>
                <w:rFonts w:ascii="PT Sans" w:hAnsi="PT Sans" w:cs="Arial"/>
                <w:b/>
                <w:color w:val="FFFFFF"/>
                <w:szCs w:val="22"/>
              </w:rPr>
              <w:t>SCADENZE FISSE</w:t>
            </w:r>
          </w:p>
        </w:tc>
      </w:tr>
      <w:tr w:rsidR="003A50ED" w:rsidRPr="000B0AAD" w:rsidTr="006D664E">
        <w:trPr>
          <w:trHeight w:val="287"/>
        </w:trPr>
        <w:tc>
          <w:tcPr>
            <w:tcW w:w="1268" w:type="dxa"/>
            <w:tcBorders>
              <w:top w:val="single" w:sz="4" w:space="0" w:color="006EB7"/>
              <w:left w:val="single" w:sz="4" w:space="0" w:color="006EB7"/>
              <w:bottom w:val="single" w:sz="4" w:space="0" w:color="006EB7"/>
              <w:right w:val="single" w:sz="4" w:space="0" w:color="006EB7"/>
            </w:tcBorders>
            <w:vAlign w:val="center"/>
          </w:tcPr>
          <w:p w:rsidR="003A50ED" w:rsidRPr="000B0AAD" w:rsidRDefault="003A50ED" w:rsidP="006D664E">
            <w:pPr>
              <w:jc w:val="center"/>
              <w:rPr>
                <w:rFonts w:ascii="PT Sans" w:hAnsi="PT Sans" w:cs="Arial"/>
                <w:b/>
                <w:sz w:val="40"/>
                <w:szCs w:val="40"/>
              </w:rPr>
            </w:pPr>
            <w:r w:rsidRPr="000B0AAD">
              <w:rPr>
                <w:rFonts w:ascii="PT Sans" w:hAnsi="PT Sans" w:cs="Arial"/>
                <w:b/>
                <w:sz w:val="40"/>
                <w:szCs w:val="40"/>
              </w:rPr>
              <w:t>16</w:t>
            </w:r>
          </w:p>
          <w:p w:rsidR="003A50ED" w:rsidRPr="000B0AAD" w:rsidRDefault="003A50ED" w:rsidP="006D664E">
            <w:pPr>
              <w:jc w:val="center"/>
              <w:rPr>
                <w:rFonts w:ascii="PT Sans" w:hAnsi="PT Sans" w:cs="Arial"/>
                <w:b/>
                <w:sz w:val="40"/>
                <w:szCs w:val="40"/>
              </w:rPr>
            </w:pPr>
            <w:r w:rsidRPr="000B0AAD">
              <w:rPr>
                <w:rFonts w:ascii="PT Sans" w:hAnsi="PT Sans" w:cs="Arial"/>
                <w:b/>
                <w:szCs w:val="22"/>
              </w:rPr>
              <w:t>maggio</w:t>
            </w:r>
          </w:p>
        </w:tc>
        <w:tc>
          <w:tcPr>
            <w:tcW w:w="8478" w:type="dxa"/>
            <w:tcBorders>
              <w:top w:val="single" w:sz="4" w:space="0" w:color="006EB7"/>
              <w:left w:val="single" w:sz="4" w:space="0" w:color="006EB7"/>
              <w:bottom w:val="single" w:sz="4" w:space="0" w:color="006EB7"/>
              <w:right w:val="single" w:sz="4" w:space="0" w:color="006EB7"/>
            </w:tcBorders>
            <w:vAlign w:val="center"/>
          </w:tcPr>
          <w:p w:rsidR="003A50ED" w:rsidRPr="000B0AAD" w:rsidRDefault="003A50ED" w:rsidP="006D664E">
            <w:pPr>
              <w:tabs>
                <w:tab w:val="left" w:pos="9540"/>
              </w:tabs>
              <w:ind w:right="98"/>
              <w:jc w:val="both"/>
              <w:rPr>
                <w:rFonts w:ascii="PT Sans" w:hAnsi="PT Sans"/>
                <w:b/>
                <w:snapToGrid w:val="0"/>
              </w:rPr>
            </w:pPr>
            <w:r w:rsidRPr="000B0AAD">
              <w:rPr>
                <w:rFonts w:ascii="PT Sans" w:hAnsi="PT Sans"/>
                <w:b/>
                <w:snapToGrid w:val="0"/>
              </w:rPr>
              <w:t>Versamenti Iva mensili e trimestrale</w:t>
            </w:r>
          </w:p>
          <w:p w:rsidR="003A50ED" w:rsidRPr="000B0AAD" w:rsidRDefault="003A50ED" w:rsidP="006D664E">
            <w:pPr>
              <w:tabs>
                <w:tab w:val="left" w:pos="916"/>
                <w:tab w:val="left" w:pos="1832"/>
                <w:tab w:val="left" w:pos="2748"/>
                <w:tab w:val="left" w:pos="3664"/>
                <w:tab w:val="left" w:pos="4580"/>
                <w:tab w:val="left" w:pos="5496"/>
                <w:tab w:val="left" w:pos="6412"/>
                <w:tab w:val="left" w:pos="7328"/>
                <w:tab w:val="left" w:pos="8262"/>
                <w:tab w:val="left" w:pos="9160"/>
                <w:tab w:val="left" w:pos="10076"/>
                <w:tab w:val="left" w:pos="10992"/>
                <w:tab w:val="left" w:pos="11908"/>
                <w:tab w:val="left" w:pos="12824"/>
                <w:tab w:val="left" w:pos="13740"/>
                <w:tab w:val="left" w:pos="14656"/>
              </w:tabs>
              <w:jc w:val="both"/>
              <w:rPr>
                <w:rFonts w:ascii="PT Sans" w:hAnsi="PT Sans"/>
                <w:snapToGrid w:val="0"/>
              </w:rPr>
            </w:pPr>
            <w:r w:rsidRPr="000B0AAD">
              <w:rPr>
                <w:rFonts w:ascii="PT Sans" w:hAnsi="PT Sans"/>
                <w:snapToGrid w:val="0"/>
              </w:rPr>
              <w:t>Scade oggi il termine di versamento dell'Iva a debito eventualmente dovuta per il mese di aprile (codice tributo 6004) e primo trimestre 2018 (codice tributo 6031).</w:t>
            </w:r>
          </w:p>
          <w:p w:rsidR="003A50ED" w:rsidRPr="000B0AAD" w:rsidRDefault="003A50ED" w:rsidP="006D664E">
            <w:pPr>
              <w:tabs>
                <w:tab w:val="left" w:pos="916"/>
                <w:tab w:val="left" w:pos="1832"/>
                <w:tab w:val="left" w:pos="2748"/>
                <w:tab w:val="left" w:pos="3664"/>
                <w:tab w:val="left" w:pos="4580"/>
                <w:tab w:val="left" w:pos="5496"/>
                <w:tab w:val="left" w:pos="6412"/>
                <w:tab w:val="left" w:pos="7328"/>
                <w:tab w:val="left" w:pos="8262"/>
                <w:tab w:val="left" w:pos="9160"/>
                <w:tab w:val="left" w:pos="10076"/>
                <w:tab w:val="left" w:pos="10992"/>
                <w:tab w:val="left" w:pos="11908"/>
                <w:tab w:val="left" w:pos="12824"/>
                <w:tab w:val="left" w:pos="13740"/>
                <w:tab w:val="left" w:pos="14656"/>
              </w:tabs>
              <w:jc w:val="both"/>
              <w:rPr>
                <w:rFonts w:ascii="PT Sans" w:hAnsi="PT Sans"/>
                <w:snapToGrid w:val="0"/>
              </w:rPr>
            </w:pPr>
            <w:r w:rsidRPr="000B0AAD">
              <w:rPr>
                <w:rFonts w:ascii="PT Sans" w:hAnsi="PT Sans"/>
                <w:snapToGrid w:val="0"/>
              </w:rPr>
              <w:t>I contribuenti Iva mensili che hanno affidato a terzi la contabilità (articolo 1, comma 3, D.P.R. 100/1998) versano oggi l’Iva dovuta per il secondo mese precedente.</w:t>
            </w:r>
          </w:p>
          <w:p w:rsidR="003A50ED" w:rsidRPr="000B0AAD" w:rsidRDefault="003A50ED" w:rsidP="006D664E">
            <w:pPr>
              <w:tabs>
                <w:tab w:val="left" w:pos="916"/>
                <w:tab w:val="left" w:pos="1832"/>
                <w:tab w:val="left" w:pos="2748"/>
                <w:tab w:val="left" w:pos="3664"/>
                <w:tab w:val="left" w:pos="4580"/>
                <w:tab w:val="left" w:pos="5496"/>
                <w:tab w:val="left" w:pos="6412"/>
                <w:tab w:val="left" w:pos="7328"/>
                <w:tab w:val="left" w:pos="8262"/>
                <w:tab w:val="left" w:pos="9160"/>
                <w:tab w:val="left" w:pos="10076"/>
                <w:tab w:val="left" w:pos="10992"/>
                <w:tab w:val="left" w:pos="11908"/>
                <w:tab w:val="left" w:pos="12824"/>
                <w:tab w:val="left" w:pos="13740"/>
                <w:tab w:val="left" w:pos="14656"/>
              </w:tabs>
              <w:spacing w:before="60"/>
              <w:jc w:val="both"/>
              <w:rPr>
                <w:rFonts w:ascii="PT Sans" w:hAnsi="PT Sans"/>
                <w:snapToGrid w:val="0"/>
              </w:rPr>
            </w:pPr>
          </w:p>
          <w:p w:rsidR="003A50ED" w:rsidRPr="000B0AAD" w:rsidRDefault="003A50ED" w:rsidP="006D664E">
            <w:pPr>
              <w:tabs>
                <w:tab w:val="left" w:pos="8262"/>
              </w:tabs>
              <w:jc w:val="both"/>
              <w:rPr>
                <w:rFonts w:ascii="PT Sans" w:hAnsi="PT Sans"/>
                <w:b/>
                <w:snapToGrid w:val="0"/>
              </w:rPr>
            </w:pPr>
            <w:r w:rsidRPr="000B0AAD">
              <w:rPr>
                <w:rFonts w:ascii="PT Sans" w:hAnsi="PT Sans"/>
                <w:b/>
                <w:snapToGrid w:val="0"/>
              </w:rPr>
              <w:t>Versamento dei contributi Inps</w:t>
            </w:r>
          </w:p>
          <w:p w:rsidR="003A50ED" w:rsidRPr="000B0AAD" w:rsidRDefault="003A50ED" w:rsidP="006D664E">
            <w:pPr>
              <w:jc w:val="both"/>
              <w:rPr>
                <w:rFonts w:ascii="PT Sans" w:hAnsi="PT Sans"/>
                <w:snapToGrid w:val="0"/>
              </w:rPr>
            </w:pPr>
            <w:r w:rsidRPr="000B0AAD">
              <w:rPr>
                <w:rFonts w:ascii="PT Sans" w:hAnsi="PT Sans"/>
                <w:snapToGrid w:val="0"/>
              </w:rPr>
              <w:t xml:space="preserve">Scade oggi il termine per il versamento dei contributi Inps dovuti dai datori di lavoro, del contributo alla gestione separata Inps, con riferimento al mese di aprile, relativamente ai redditi di lavoro dipendente, ai rapporti di collaborazione coordinata e continuativa, a progetto, ai compensi occasionali, e ai rapporti di associazione in partecipazione. </w:t>
            </w:r>
          </w:p>
          <w:p w:rsidR="003A50ED" w:rsidRPr="000B0AAD" w:rsidRDefault="003A50ED" w:rsidP="006D664E">
            <w:pPr>
              <w:spacing w:before="60"/>
              <w:jc w:val="both"/>
              <w:rPr>
                <w:rFonts w:ascii="PT Sans" w:hAnsi="PT Sans"/>
                <w:snapToGrid w:val="0"/>
              </w:rPr>
            </w:pPr>
          </w:p>
          <w:p w:rsidR="003A50ED" w:rsidRPr="000B0AAD" w:rsidRDefault="003A50ED" w:rsidP="006D664E">
            <w:pPr>
              <w:tabs>
                <w:tab w:val="left" w:pos="9540"/>
              </w:tabs>
              <w:ind w:right="96"/>
              <w:jc w:val="both"/>
              <w:rPr>
                <w:rFonts w:ascii="PT Sans" w:hAnsi="PT Sans"/>
                <w:b/>
                <w:snapToGrid w:val="0"/>
              </w:rPr>
            </w:pPr>
            <w:r w:rsidRPr="000B0AAD">
              <w:rPr>
                <w:rFonts w:ascii="PT Sans" w:hAnsi="PT Sans"/>
                <w:b/>
                <w:snapToGrid w:val="0"/>
              </w:rPr>
              <w:t xml:space="preserve">Versamento delle ritenute alla fonte </w:t>
            </w:r>
          </w:p>
          <w:p w:rsidR="003A50ED" w:rsidRPr="000B0AAD" w:rsidRDefault="003A50ED" w:rsidP="006D664E">
            <w:pPr>
              <w:ind w:right="102"/>
              <w:jc w:val="both"/>
              <w:rPr>
                <w:rFonts w:ascii="PT Sans" w:hAnsi="PT Sans"/>
                <w:snapToGrid w:val="0"/>
              </w:rPr>
            </w:pPr>
            <w:r w:rsidRPr="000B0AAD">
              <w:rPr>
                <w:rFonts w:ascii="PT Sans" w:hAnsi="PT Sans"/>
                <w:snapToGrid w:val="0"/>
              </w:rPr>
              <w:t xml:space="preserve">Entro oggi i sostituti d’imposta devono provvedere al versamento delle ritenute alla fonte effettuate nel mese precedente: </w:t>
            </w:r>
          </w:p>
          <w:p w:rsidR="003A50ED" w:rsidRPr="000B0AAD" w:rsidRDefault="003A50ED" w:rsidP="003A50ED">
            <w:pPr>
              <w:numPr>
                <w:ilvl w:val="0"/>
                <w:numId w:val="8"/>
              </w:numPr>
              <w:ind w:left="333" w:right="102" w:hanging="283"/>
              <w:jc w:val="both"/>
              <w:rPr>
                <w:rFonts w:ascii="PT Sans" w:hAnsi="PT Sans"/>
                <w:snapToGrid w:val="0"/>
              </w:rPr>
            </w:pPr>
            <w:r w:rsidRPr="000B0AAD">
              <w:rPr>
                <w:rFonts w:ascii="PT Sans" w:hAnsi="PT Sans"/>
                <w:snapToGrid w:val="0"/>
              </w:rPr>
              <w:t>sui redditi di lavoro dipendente unitamente al versamento delle addizionali all'Irpef;</w:t>
            </w:r>
          </w:p>
          <w:p w:rsidR="003A50ED" w:rsidRPr="000B0AAD" w:rsidRDefault="003A50ED" w:rsidP="003A50ED">
            <w:pPr>
              <w:numPr>
                <w:ilvl w:val="0"/>
                <w:numId w:val="8"/>
              </w:numPr>
              <w:ind w:left="333" w:right="102" w:hanging="283"/>
              <w:jc w:val="both"/>
              <w:rPr>
                <w:rFonts w:ascii="PT Sans" w:hAnsi="PT Sans"/>
                <w:snapToGrid w:val="0"/>
              </w:rPr>
            </w:pPr>
            <w:r w:rsidRPr="000B0AAD">
              <w:rPr>
                <w:rFonts w:ascii="PT Sans" w:hAnsi="PT Sans"/>
                <w:snapToGrid w:val="0"/>
              </w:rPr>
              <w:t>sui redditi di lavoro assimilati al lavoro dipendente;</w:t>
            </w:r>
          </w:p>
          <w:p w:rsidR="003A50ED" w:rsidRPr="000B0AAD" w:rsidRDefault="003A50ED" w:rsidP="003A50ED">
            <w:pPr>
              <w:numPr>
                <w:ilvl w:val="0"/>
                <w:numId w:val="8"/>
              </w:numPr>
              <w:ind w:left="333" w:right="102" w:hanging="283"/>
              <w:jc w:val="both"/>
              <w:rPr>
                <w:rFonts w:ascii="PT Sans" w:hAnsi="PT Sans"/>
                <w:snapToGrid w:val="0"/>
              </w:rPr>
            </w:pPr>
            <w:r w:rsidRPr="000B0AAD">
              <w:rPr>
                <w:rFonts w:ascii="PT Sans" w:hAnsi="PT Sans"/>
                <w:snapToGrid w:val="0"/>
              </w:rPr>
              <w:t>sui redditi di lavoro autonomo;</w:t>
            </w:r>
          </w:p>
          <w:p w:rsidR="003A50ED" w:rsidRPr="000B0AAD" w:rsidRDefault="003A50ED" w:rsidP="003A50ED">
            <w:pPr>
              <w:numPr>
                <w:ilvl w:val="0"/>
                <w:numId w:val="8"/>
              </w:numPr>
              <w:ind w:left="333" w:right="102" w:hanging="283"/>
              <w:jc w:val="both"/>
              <w:rPr>
                <w:rFonts w:ascii="PT Sans" w:hAnsi="PT Sans"/>
                <w:snapToGrid w:val="0"/>
              </w:rPr>
            </w:pPr>
            <w:r w:rsidRPr="000B0AAD">
              <w:rPr>
                <w:rFonts w:ascii="PT Sans" w:hAnsi="PT Sans"/>
                <w:snapToGrid w:val="0"/>
              </w:rPr>
              <w:t>sulle provvigioni;</w:t>
            </w:r>
          </w:p>
          <w:p w:rsidR="003A50ED" w:rsidRPr="000B0AAD" w:rsidRDefault="003A50ED" w:rsidP="003A50ED">
            <w:pPr>
              <w:numPr>
                <w:ilvl w:val="0"/>
                <w:numId w:val="8"/>
              </w:numPr>
              <w:ind w:left="333" w:right="102" w:hanging="283"/>
              <w:jc w:val="both"/>
              <w:rPr>
                <w:rFonts w:ascii="PT Sans" w:hAnsi="PT Sans"/>
                <w:snapToGrid w:val="0"/>
              </w:rPr>
            </w:pPr>
            <w:r w:rsidRPr="000B0AAD">
              <w:rPr>
                <w:rFonts w:ascii="PT Sans" w:hAnsi="PT Sans"/>
                <w:snapToGrid w:val="0"/>
              </w:rPr>
              <w:t>sui redditi di capitale;</w:t>
            </w:r>
          </w:p>
          <w:p w:rsidR="003A50ED" w:rsidRPr="000B0AAD" w:rsidRDefault="003A50ED" w:rsidP="003A50ED">
            <w:pPr>
              <w:numPr>
                <w:ilvl w:val="0"/>
                <w:numId w:val="8"/>
              </w:numPr>
              <w:ind w:left="333" w:right="102" w:hanging="283"/>
              <w:jc w:val="both"/>
              <w:rPr>
                <w:rFonts w:ascii="PT Sans" w:hAnsi="PT Sans"/>
                <w:snapToGrid w:val="0"/>
              </w:rPr>
            </w:pPr>
            <w:r w:rsidRPr="000B0AAD">
              <w:rPr>
                <w:rFonts w:ascii="PT Sans" w:hAnsi="PT Sans"/>
                <w:snapToGrid w:val="0"/>
              </w:rPr>
              <w:t>sui redditi diversi;</w:t>
            </w:r>
          </w:p>
          <w:p w:rsidR="003A50ED" w:rsidRPr="000B0AAD" w:rsidRDefault="003A50ED" w:rsidP="003A50ED">
            <w:pPr>
              <w:numPr>
                <w:ilvl w:val="0"/>
                <w:numId w:val="8"/>
              </w:numPr>
              <w:ind w:left="333" w:right="102" w:hanging="283"/>
              <w:jc w:val="both"/>
              <w:rPr>
                <w:rFonts w:ascii="PT Sans" w:hAnsi="PT Sans"/>
                <w:snapToGrid w:val="0"/>
              </w:rPr>
            </w:pPr>
            <w:r w:rsidRPr="000B0AAD">
              <w:rPr>
                <w:rFonts w:ascii="PT Sans" w:hAnsi="PT Sans"/>
                <w:snapToGrid w:val="0"/>
              </w:rPr>
              <w:t>sulle indennità di cessazione del rapporto di agenzia;</w:t>
            </w:r>
          </w:p>
          <w:p w:rsidR="003A50ED" w:rsidRPr="000B0AAD" w:rsidRDefault="003A50ED" w:rsidP="003A50ED">
            <w:pPr>
              <w:numPr>
                <w:ilvl w:val="0"/>
                <w:numId w:val="8"/>
              </w:numPr>
              <w:ind w:left="333" w:right="102" w:hanging="283"/>
              <w:jc w:val="both"/>
              <w:rPr>
                <w:rFonts w:ascii="PT Sans" w:hAnsi="PT Sans"/>
                <w:snapToGrid w:val="0"/>
              </w:rPr>
            </w:pPr>
            <w:r w:rsidRPr="000B0AAD">
              <w:rPr>
                <w:rFonts w:ascii="PT Sans" w:hAnsi="PT Sans"/>
                <w:snapToGrid w:val="0"/>
              </w:rPr>
              <w:t>sulle indennità di cessazione del rapporto di collaborazione a progetto.</w:t>
            </w:r>
          </w:p>
          <w:p w:rsidR="003A50ED" w:rsidRPr="000B0AAD" w:rsidRDefault="003A50ED" w:rsidP="006D664E">
            <w:pPr>
              <w:spacing w:before="60"/>
              <w:jc w:val="both"/>
              <w:rPr>
                <w:rFonts w:ascii="PT Sans" w:hAnsi="PT Sans"/>
                <w:snapToGrid w:val="0"/>
              </w:rPr>
            </w:pPr>
          </w:p>
          <w:p w:rsidR="003A50ED" w:rsidRPr="000B0AAD" w:rsidRDefault="003A50ED" w:rsidP="006D664E">
            <w:pPr>
              <w:jc w:val="both"/>
              <w:rPr>
                <w:rFonts w:ascii="PT Sans" w:hAnsi="PT Sans"/>
                <w:b/>
                <w:snapToGrid w:val="0"/>
              </w:rPr>
            </w:pPr>
            <w:r w:rsidRPr="000B0AAD">
              <w:rPr>
                <w:rFonts w:ascii="PT Sans" w:hAnsi="PT Sans"/>
                <w:b/>
                <w:snapToGrid w:val="0"/>
              </w:rPr>
              <w:t>Versamento ritenute da parte condomini</w:t>
            </w:r>
          </w:p>
          <w:p w:rsidR="003A50ED" w:rsidRPr="000B0AAD" w:rsidRDefault="003A50ED" w:rsidP="006D664E">
            <w:pPr>
              <w:jc w:val="both"/>
              <w:rPr>
                <w:rFonts w:ascii="PT Sans" w:hAnsi="PT Sans"/>
                <w:snapToGrid w:val="0"/>
              </w:rPr>
            </w:pPr>
            <w:r w:rsidRPr="000B0AAD">
              <w:rPr>
                <w:rFonts w:ascii="PT Sans" w:hAnsi="PT Sans"/>
                <w:snapToGrid w:val="0"/>
              </w:rPr>
              <w:t>Scade oggi il versamento delle ritenute operate dai condomini sui corrispettivi corrisposti nel mese precedente riferiti a prestazioni di servizi effettuate nell’esercizio di imprese per contratti di appalto, opere e servizi.</w:t>
            </w:r>
          </w:p>
          <w:p w:rsidR="003A50ED" w:rsidRPr="000B0AAD" w:rsidRDefault="003A50ED" w:rsidP="006D664E">
            <w:pPr>
              <w:spacing w:before="60"/>
              <w:jc w:val="both"/>
              <w:rPr>
                <w:rFonts w:ascii="PT Sans" w:hAnsi="PT Sans"/>
                <w:snapToGrid w:val="0"/>
              </w:rPr>
            </w:pPr>
          </w:p>
          <w:p w:rsidR="003A50ED" w:rsidRPr="000B0AAD" w:rsidRDefault="003A50ED" w:rsidP="006D664E">
            <w:pPr>
              <w:jc w:val="both"/>
              <w:rPr>
                <w:rFonts w:ascii="PT Sans" w:hAnsi="PT Sans"/>
                <w:b/>
                <w:snapToGrid w:val="0"/>
              </w:rPr>
            </w:pPr>
            <w:r w:rsidRPr="000B0AAD">
              <w:rPr>
                <w:rFonts w:ascii="PT Sans" w:hAnsi="PT Sans"/>
                <w:b/>
                <w:snapToGrid w:val="0"/>
              </w:rPr>
              <w:t>ACCISE - Versamento imposta</w:t>
            </w:r>
          </w:p>
          <w:p w:rsidR="003A50ED" w:rsidRPr="000B0AAD" w:rsidRDefault="003A50ED" w:rsidP="006D664E">
            <w:pPr>
              <w:tabs>
                <w:tab w:val="left" w:pos="9540"/>
              </w:tabs>
              <w:spacing w:before="60"/>
              <w:jc w:val="both"/>
              <w:rPr>
                <w:rFonts w:ascii="PT Sans" w:hAnsi="PT Sans"/>
                <w:snapToGrid w:val="0"/>
              </w:rPr>
            </w:pPr>
            <w:r w:rsidRPr="000B0AAD">
              <w:rPr>
                <w:rFonts w:ascii="PT Sans" w:hAnsi="PT Sans"/>
                <w:snapToGrid w:val="0"/>
              </w:rPr>
              <w:t>Scade il termine per il pagamento dell’accisa sui prodotti energetici a essa soggetti, immessi in consumo nel mese precedente.</w:t>
            </w:r>
          </w:p>
          <w:p w:rsidR="003A50ED" w:rsidRPr="000B0AAD" w:rsidRDefault="003A50ED" w:rsidP="006D664E">
            <w:pPr>
              <w:tabs>
                <w:tab w:val="left" w:pos="9540"/>
              </w:tabs>
              <w:spacing w:before="60"/>
              <w:jc w:val="both"/>
              <w:rPr>
                <w:rFonts w:ascii="PT Sans" w:hAnsi="PT Sans"/>
                <w:snapToGrid w:val="0"/>
              </w:rPr>
            </w:pPr>
          </w:p>
          <w:p w:rsidR="003A50ED" w:rsidRPr="000B0AAD" w:rsidRDefault="003A50ED" w:rsidP="006D664E">
            <w:pPr>
              <w:jc w:val="both"/>
              <w:rPr>
                <w:rFonts w:ascii="PT Sans" w:hAnsi="PT Sans"/>
                <w:b/>
                <w:snapToGrid w:val="0"/>
              </w:rPr>
            </w:pPr>
            <w:r w:rsidRPr="000B0AAD">
              <w:rPr>
                <w:rFonts w:ascii="PT Sans" w:hAnsi="PT Sans"/>
                <w:b/>
                <w:snapToGrid w:val="0"/>
              </w:rPr>
              <w:t>Versamento saldo Iva 2018</w:t>
            </w:r>
          </w:p>
          <w:p w:rsidR="003A50ED" w:rsidRPr="000B0AAD" w:rsidRDefault="003A50ED" w:rsidP="006D664E">
            <w:pPr>
              <w:jc w:val="both"/>
              <w:rPr>
                <w:rFonts w:ascii="PT Sans" w:hAnsi="PT Sans"/>
                <w:snapToGrid w:val="0"/>
              </w:rPr>
            </w:pPr>
            <w:r w:rsidRPr="000B0AAD">
              <w:rPr>
                <w:rFonts w:ascii="PT Sans" w:hAnsi="PT Sans"/>
                <w:snapToGrid w:val="0"/>
              </w:rPr>
              <w:lastRenderedPageBreak/>
              <w:t>Entro oggi i contribuenti che hanno un debito d’imposta relativo all’anno 2017, risultante dalla dichiarazione annuale, e che hanno scelto il versamento rateale, devono versare la terza rata del conguaglio annuale dell’Iva utilizzando il codice tributo 6099.</w:t>
            </w:r>
          </w:p>
          <w:p w:rsidR="003A50ED" w:rsidRPr="000B0AAD" w:rsidRDefault="003A50ED" w:rsidP="006D664E">
            <w:pPr>
              <w:spacing w:before="60"/>
              <w:jc w:val="both"/>
              <w:rPr>
                <w:rFonts w:ascii="PT Sans" w:hAnsi="PT Sans"/>
                <w:b/>
                <w:snapToGrid w:val="0"/>
              </w:rPr>
            </w:pPr>
          </w:p>
          <w:p w:rsidR="003A50ED" w:rsidRPr="000B0AAD" w:rsidRDefault="003A50ED" w:rsidP="006D664E">
            <w:pPr>
              <w:jc w:val="both"/>
              <w:rPr>
                <w:rFonts w:ascii="PT Sans" w:hAnsi="PT Sans"/>
                <w:b/>
                <w:snapToGrid w:val="0"/>
              </w:rPr>
            </w:pPr>
            <w:r w:rsidRPr="000B0AAD">
              <w:rPr>
                <w:rFonts w:ascii="PT Sans" w:hAnsi="PT Sans"/>
                <w:b/>
                <w:snapToGrid w:val="0"/>
              </w:rPr>
              <w:t>Ravvedimento versamenti entro 30 giorni</w:t>
            </w:r>
          </w:p>
          <w:p w:rsidR="003A50ED" w:rsidRPr="000B0AAD" w:rsidRDefault="003A50ED" w:rsidP="006D664E">
            <w:pPr>
              <w:pStyle w:val="PreformattatoHTML"/>
              <w:spacing w:line="240" w:lineRule="auto"/>
              <w:jc w:val="both"/>
              <w:rPr>
                <w:rFonts w:ascii="PT Sans" w:hAnsi="PT Sans"/>
                <w:snapToGrid w:val="0"/>
                <w:sz w:val="22"/>
                <w:lang w:val="it-IT" w:eastAsia="it-IT"/>
              </w:rPr>
            </w:pPr>
            <w:r w:rsidRPr="000B0AAD">
              <w:rPr>
                <w:rFonts w:ascii="PT Sans" w:hAnsi="PT Sans"/>
                <w:snapToGrid w:val="0"/>
                <w:sz w:val="22"/>
                <w:lang w:val="it-IT" w:eastAsia="it-IT"/>
              </w:rPr>
              <w:t>Termine ultimo per procedere alla regolarizzazione, con sanzione ridotta pari al 3%, degli omessi o insufficienti versamenti di imposte e ritenute non effettuati, ovvero effettuati in misura ridotta, entro lo scorso 16 aprile.</w:t>
            </w:r>
          </w:p>
          <w:p w:rsidR="003A50ED" w:rsidRPr="000B0AAD" w:rsidRDefault="003A50ED" w:rsidP="006D664E">
            <w:pPr>
              <w:pStyle w:val="PreformattatoHTML"/>
              <w:spacing w:before="60" w:line="240" w:lineRule="auto"/>
              <w:jc w:val="both"/>
              <w:rPr>
                <w:rFonts w:ascii="PT Sans" w:hAnsi="PT Sans"/>
                <w:b/>
                <w:snapToGrid w:val="0"/>
                <w:lang w:val="it-IT"/>
              </w:rPr>
            </w:pPr>
          </w:p>
        </w:tc>
      </w:tr>
      <w:tr w:rsidR="003A50ED" w:rsidRPr="000B0AAD" w:rsidTr="006D664E">
        <w:trPr>
          <w:trHeight w:val="1215"/>
        </w:trPr>
        <w:tc>
          <w:tcPr>
            <w:tcW w:w="1268" w:type="dxa"/>
            <w:tcBorders>
              <w:top w:val="single" w:sz="4" w:space="0" w:color="006EB7"/>
              <w:left w:val="single" w:sz="4" w:space="0" w:color="006EB7"/>
              <w:bottom w:val="single" w:sz="4" w:space="0" w:color="006EB7"/>
              <w:right w:val="single" w:sz="4" w:space="0" w:color="006EB7"/>
            </w:tcBorders>
            <w:vAlign w:val="center"/>
          </w:tcPr>
          <w:p w:rsidR="003A50ED" w:rsidRPr="000B0AAD" w:rsidRDefault="003A50ED" w:rsidP="006D664E">
            <w:pPr>
              <w:jc w:val="center"/>
              <w:rPr>
                <w:rFonts w:ascii="PT Sans" w:hAnsi="PT Sans" w:cs="Arial"/>
                <w:b/>
                <w:sz w:val="40"/>
                <w:szCs w:val="40"/>
              </w:rPr>
            </w:pPr>
            <w:r w:rsidRPr="000B0AAD">
              <w:rPr>
                <w:rFonts w:ascii="PT Sans" w:hAnsi="PT Sans" w:cs="Arial"/>
                <w:b/>
                <w:sz w:val="40"/>
                <w:szCs w:val="40"/>
              </w:rPr>
              <w:lastRenderedPageBreak/>
              <w:t>20</w:t>
            </w:r>
          </w:p>
          <w:p w:rsidR="003A50ED" w:rsidRPr="000B0AAD" w:rsidRDefault="003A50ED" w:rsidP="006D664E">
            <w:pPr>
              <w:jc w:val="center"/>
              <w:rPr>
                <w:rFonts w:ascii="PT Sans" w:hAnsi="PT Sans" w:cs="Arial"/>
                <w:b/>
                <w:sz w:val="40"/>
                <w:szCs w:val="40"/>
              </w:rPr>
            </w:pPr>
            <w:r w:rsidRPr="000B0AAD">
              <w:rPr>
                <w:rFonts w:ascii="PT Sans" w:hAnsi="PT Sans" w:cs="Arial"/>
                <w:b/>
                <w:szCs w:val="22"/>
              </w:rPr>
              <w:t>maggio</w:t>
            </w:r>
          </w:p>
        </w:tc>
        <w:tc>
          <w:tcPr>
            <w:tcW w:w="8478" w:type="dxa"/>
            <w:tcBorders>
              <w:top w:val="single" w:sz="4" w:space="0" w:color="006EB7"/>
              <w:left w:val="single" w:sz="4" w:space="0" w:color="006EB7"/>
              <w:bottom w:val="single" w:sz="4" w:space="0" w:color="006EB7"/>
              <w:right w:val="single" w:sz="4" w:space="0" w:color="006EB7"/>
            </w:tcBorders>
            <w:vAlign w:val="center"/>
          </w:tcPr>
          <w:p w:rsidR="003A50ED" w:rsidRPr="000B0AAD" w:rsidRDefault="003A50ED" w:rsidP="006D664E">
            <w:pPr>
              <w:jc w:val="both"/>
              <w:rPr>
                <w:rFonts w:ascii="PT Sans" w:hAnsi="PT Sans"/>
                <w:b/>
                <w:snapToGrid w:val="0"/>
              </w:rPr>
            </w:pPr>
            <w:r w:rsidRPr="000B0AAD">
              <w:rPr>
                <w:rFonts w:ascii="PT Sans" w:hAnsi="PT Sans"/>
                <w:b/>
                <w:snapToGrid w:val="0"/>
              </w:rPr>
              <w:t>Presentazione dichiarazione periodica Conai</w:t>
            </w:r>
          </w:p>
          <w:p w:rsidR="003A50ED" w:rsidRPr="000B0AAD" w:rsidRDefault="003A50ED" w:rsidP="006D664E">
            <w:pPr>
              <w:tabs>
                <w:tab w:val="left" w:pos="9540"/>
              </w:tabs>
              <w:spacing w:before="60"/>
              <w:jc w:val="both"/>
              <w:rPr>
                <w:rFonts w:ascii="PT Sans" w:hAnsi="PT Sans"/>
              </w:rPr>
            </w:pPr>
            <w:r w:rsidRPr="000B0AAD">
              <w:rPr>
                <w:rFonts w:ascii="PT Sans" w:hAnsi="PT Sans"/>
              </w:rPr>
              <w:t>Scade oggi il termine di presentazione della dichiarazione periodica Conai riferita al mese di aprile, da parte dei contribuenti tenuti a tale adempimento con cadenza mensile.</w:t>
            </w:r>
          </w:p>
          <w:p w:rsidR="003A50ED" w:rsidRPr="000B0AAD" w:rsidRDefault="003A50ED" w:rsidP="006D664E">
            <w:pPr>
              <w:spacing w:before="60"/>
              <w:jc w:val="both"/>
              <w:rPr>
                <w:rFonts w:ascii="PT Sans" w:hAnsi="PT Sans"/>
                <w:b/>
                <w:snapToGrid w:val="0"/>
              </w:rPr>
            </w:pPr>
          </w:p>
        </w:tc>
      </w:tr>
      <w:tr w:rsidR="003A50ED" w:rsidRPr="000B0AAD" w:rsidTr="006D664E">
        <w:trPr>
          <w:trHeight w:val="728"/>
        </w:trPr>
        <w:tc>
          <w:tcPr>
            <w:tcW w:w="1268" w:type="dxa"/>
            <w:tcBorders>
              <w:top w:val="single" w:sz="4" w:space="0" w:color="006EB7"/>
              <w:left w:val="single" w:sz="4" w:space="0" w:color="006EB7"/>
              <w:bottom w:val="single" w:sz="4" w:space="0" w:color="006EB7"/>
              <w:right w:val="single" w:sz="4" w:space="0" w:color="006EB7"/>
            </w:tcBorders>
            <w:vAlign w:val="center"/>
          </w:tcPr>
          <w:p w:rsidR="003A50ED" w:rsidRPr="000B0AAD" w:rsidRDefault="003A50ED" w:rsidP="006D664E">
            <w:pPr>
              <w:jc w:val="center"/>
              <w:rPr>
                <w:rFonts w:ascii="PT Sans" w:hAnsi="PT Sans" w:cs="Arial"/>
                <w:b/>
                <w:sz w:val="40"/>
                <w:szCs w:val="40"/>
              </w:rPr>
            </w:pPr>
            <w:r w:rsidRPr="000B0AAD">
              <w:rPr>
                <w:rFonts w:ascii="PT Sans" w:hAnsi="PT Sans" w:cs="Arial"/>
                <w:b/>
                <w:sz w:val="40"/>
                <w:szCs w:val="40"/>
              </w:rPr>
              <w:t xml:space="preserve">21 </w:t>
            </w:r>
          </w:p>
          <w:p w:rsidR="003A50ED" w:rsidRPr="000B0AAD" w:rsidRDefault="003A50ED" w:rsidP="006D664E">
            <w:pPr>
              <w:jc w:val="center"/>
              <w:rPr>
                <w:rFonts w:ascii="PT Sans" w:hAnsi="PT Sans" w:cs="Arial"/>
                <w:b/>
                <w:szCs w:val="22"/>
              </w:rPr>
            </w:pPr>
            <w:r w:rsidRPr="000B0AAD">
              <w:rPr>
                <w:rFonts w:ascii="PT Sans" w:hAnsi="PT Sans" w:cs="Arial"/>
                <w:b/>
                <w:szCs w:val="22"/>
              </w:rPr>
              <w:t>maggio</w:t>
            </w:r>
          </w:p>
        </w:tc>
        <w:tc>
          <w:tcPr>
            <w:tcW w:w="8478" w:type="dxa"/>
            <w:tcBorders>
              <w:top w:val="single" w:sz="4" w:space="0" w:color="006EB7"/>
              <w:left w:val="single" w:sz="4" w:space="0" w:color="006EB7"/>
              <w:bottom w:val="single" w:sz="4" w:space="0" w:color="006EB7"/>
              <w:right w:val="single" w:sz="4" w:space="0" w:color="006EB7"/>
            </w:tcBorders>
            <w:vAlign w:val="center"/>
          </w:tcPr>
          <w:p w:rsidR="003A50ED" w:rsidRPr="000B0AAD" w:rsidRDefault="003A50ED" w:rsidP="006D664E">
            <w:pPr>
              <w:jc w:val="both"/>
              <w:rPr>
                <w:rFonts w:ascii="PT Sans" w:hAnsi="PT Sans"/>
                <w:b/>
                <w:snapToGrid w:val="0"/>
              </w:rPr>
            </w:pPr>
            <w:r w:rsidRPr="000B0AAD">
              <w:rPr>
                <w:rFonts w:ascii="PT Sans" w:hAnsi="PT Sans"/>
                <w:b/>
                <w:snapToGrid w:val="0"/>
              </w:rPr>
              <w:t>Associazioni sportive dilettantistiche</w:t>
            </w:r>
          </w:p>
          <w:p w:rsidR="003A50ED" w:rsidRPr="000B0AAD" w:rsidRDefault="003A50ED" w:rsidP="006D664E">
            <w:pPr>
              <w:jc w:val="both"/>
              <w:rPr>
                <w:rFonts w:ascii="PT Sans" w:hAnsi="PT Sans"/>
              </w:rPr>
            </w:pPr>
            <w:r w:rsidRPr="000B0AAD">
              <w:rPr>
                <w:rFonts w:ascii="PT Sans" w:hAnsi="PT Sans"/>
              </w:rPr>
              <w:t>Scade oggi per le Asd iscritte al Coni e che hanno presentato la richiesta di ammissione al 5 per mille il termine per chiedere la rettifica di eventuali errori di iscrizione nell'elenco.</w:t>
            </w:r>
          </w:p>
          <w:p w:rsidR="003A50ED" w:rsidRPr="000B0AAD" w:rsidRDefault="003A50ED" w:rsidP="006D664E">
            <w:pPr>
              <w:spacing w:before="60"/>
              <w:jc w:val="both"/>
              <w:rPr>
                <w:rFonts w:ascii="PT Sans" w:hAnsi="PT Sans"/>
              </w:rPr>
            </w:pPr>
          </w:p>
          <w:p w:rsidR="003A50ED" w:rsidRPr="000B0AAD" w:rsidRDefault="003A50ED" w:rsidP="006D664E">
            <w:pPr>
              <w:jc w:val="both"/>
              <w:rPr>
                <w:rFonts w:ascii="PT Sans" w:hAnsi="PT Sans"/>
                <w:b/>
                <w:snapToGrid w:val="0"/>
              </w:rPr>
            </w:pPr>
            <w:r w:rsidRPr="000B0AAD">
              <w:rPr>
                <w:rFonts w:ascii="PT Sans" w:hAnsi="PT Sans"/>
                <w:b/>
                <w:snapToGrid w:val="0"/>
              </w:rPr>
              <w:t>Enti del volontariato</w:t>
            </w:r>
          </w:p>
          <w:p w:rsidR="003A50ED" w:rsidRPr="000B0AAD" w:rsidRDefault="003A50ED" w:rsidP="006D664E">
            <w:pPr>
              <w:jc w:val="both"/>
              <w:rPr>
                <w:rFonts w:ascii="PT Sans" w:hAnsi="PT Sans" w:cs="Arial"/>
                <w:color w:val="1C2024"/>
                <w:sz w:val="21"/>
                <w:szCs w:val="21"/>
              </w:rPr>
            </w:pPr>
            <w:r w:rsidRPr="000B0AAD">
              <w:rPr>
                <w:rFonts w:ascii="PT Sans" w:hAnsi="PT Sans"/>
              </w:rPr>
              <w:t>Scade oggi per gli Enti del volontariato che hanno presentato la richiesta di ammissione al 5 per mille il termine per chiedere la rettifica di eventuali errori di iscrizione nell'elenco.</w:t>
            </w:r>
          </w:p>
          <w:p w:rsidR="003A50ED" w:rsidRPr="000B0AAD" w:rsidRDefault="003A50ED" w:rsidP="006D664E">
            <w:pPr>
              <w:spacing w:before="60"/>
              <w:jc w:val="both"/>
              <w:rPr>
                <w:rFonts w:ascii="PT Sans" w:hAnsi="PT Sans"/>
                <w:b/>
                <w:snapToGrid w:val="0"/>
              </w:rPr>
            </w:pPr>
          </w:p>
        </w:tc>
      </w:tr>
      <w:tr w:rsidR="003A50ED" w:rsidRPr="000B0AAD" w:rsidTr="006D664E">
        <w:trPr>
          <w:trHeight w:val="728"/>
        </w:trPr>
        <w:tc>
          <w:tcPr>
            <w:tcW w:w="1268" w:type="dxa"/>
            <w:tcBorders>
              <w:top w:val="single" w:sz="4" w:space="0" w:color="006EB7"/>
              <w:left w:val="single" w:sz="4" w:space="0" w:color="006EB7"/>
              <w:bottom w:val="single" w:sz="4" w:space="0" w:color="006EB7"/>
              <w:right w:val="single" w:sz="4" w:space="0" w:color="006EB7"/>
            </w:tcBorders>
            <w:vAlign w:val="center"/>
          </w:tcPr>
          <w:p w:rsidR="003A50ED" w:rsidRPr="000B0AAD" w:rsidRDefault="003A50ED" w:rsidP="006D664E">
            <w:pPr>
              <w:jc w:val="center"/>
              <w:rPr>
                <w:rFonts w:ascii="PT Sans" w:hAnsi="PT Sans" w:cs="Arial"/>
                <w:b/>
                <w:sz w:val="40"/>
                <w:szCs w:val="40"/>
              </w:rPr>
            </w:pPr>
            <w:r w:rsidRPr="000B0AAD">
              <w:rPr>
                <w:rFonts w:ascii="PT Sans" w:hAnsi="PT Sans" w:cs="Arial"/>
                <w:b/>
                <w:sz w:val="40"/>
                <w:szCs w:val="40"/>
              </w:rPr>
              <w:t>25</w:t>
            </w:r>
          </w:p>
          <w:p w:rsidR="003A50ED" w:rsidRPr="000B0AAD" w:rsidRDefault="003A50ED" w:rsidP="006D664E">
            <w:pPr>
              <w:jc w:val="center"/>
              <w:rPr>
                <w:rFonts w:ascii="PT Sans" w:hAnsi="PT Sans" w:cs="Arial"/>
                <w:b/>
              </w:rPr>
            </w:pPr>
            <w:r w:rsidRPr="000B0AAD">
              <w:rPr>
                <w:rFonts w:ascii="PT Sans" w:hAnsi="PT Sans" w:cs="Arial"/>
                <w:b/>
                <w:szCs w:val="22"/>
              </w:rPr>
              <w:t>maggio</w:t>
            </w:r>
          </w:p>
        </w:tc>
        <w:tc>
          <w:tcPr>
            <w:tcW w:w="8478" w:type="dxa"/>
            <w:tcBorders>
              <w:top w:val="single" w:sz="4" w:space="0" w:color="006EB7"/>
              <w:left w:val="single" w:sz="4" w:space="0" w:color="006EB7"/>
              <w:bottom w:val="single" w:sz="4" w:space="0" w:color="006EB7"/>
              <w:right w:val="single" w:sz="4" w:space="0" w:color="006EB7"/>
            </w:tcBorders>
            <w:vAlign w:val="center"/>
          </w:tcPr>
          <w:p w:rsidR="003A50ED" w:rsidRPr="000B0AAD" w:rsidRDefault="003A50ED" w:rsidP="006D664E">
            <w:pPr>
              <w:rPr>
                <w:rFonts w:ascii="PT Sans" w:hAnsi="PT Sans"/>
                <w:b/>
                <w:snapToGrid w:val="0"/>
              </w:rPr>
            </w:pPr>
            <w:r w:rsidRPr="000B0AAD">
              <w:rPr>
                <w:rFonts w:ascii="PT Sans" w:hAnsi="PT Sans"/>
                <w:b/>
                <w:snapToGrid w:val="0"/>
              </w:rPr>
              <w:t xml:space="preserve">Presentazione elenchi Intrastat mensili </w:t>
            </w:r>
          </w:p>
          <w:p w:rsidR="003A50ED" w:rsidRPr="00C44096" w:rsidRDefault="003A50ED" w:rsidP="006D664E">
            <w:pPr>
              <w:autoSpaceDE w:val="0"/>
              <w:autoSpaceDN w:val="0"/>
              <w:adjustRightInd w:val="0"/>
              <w:jc w:val="both"/>
              <w:rPr>
                <w:rFonts w:ascii="PT Sans" w:hAnsi="PT Sans" w:cs="Arial"/>
                <w:color w:val="000000"/>
                <w:spacing w:val="4"/>
                <w:szCs w:val="22"/>
              </w:rPr>
            </w:pPr>
            <w:r w:rsidRPr="00C44096">
              <w:rPr>
                <w:rFonts w:ascii="PT Sans" w:hAnsi="PT Sans" w:cs="Arial"/>
                <w:color w:val="000000"/>
                <w:spacing w:val="4"/>
                <w:szCs w:val="22"/>
              </w:rPr>
              <w:t>Scade oggi, per i soggetti tenuti a questo obbligo con cadenza mensile, il termine per presentare in via telematica l'elenco riepilogativo delle vendite intracomunitarie effettuate nel mese precedente e, ai soli fini statistici, il modello relativo agli acquisti.</w:t>
            </w:r>
          </w:p>
          <w:p w:rsidR="003A50ED" w:rsidRPr="000B0AAD" w:rsidRDefault="003A50ED" w:rsidP="006D664E">
            <w:pPr>
              <w:spacing w:before="60"/>
              <w:jc w:val="both"/>
              <w:rPr>
                <w:rFonts w:ascii="PT Sans" w:hAnsi="PT Sans" w:cs="Arial"/>
                <w:b/>
                <w:snapToGrid w:val="0"/>
              </w:rPr>
            </w:pPr>
          </w:p>
        </w:tc>
      </w:tr>
      <w:tr w:rsidR="003A50ED" w:rsidRPr="000B0AAD" w:rsidTr="006D664E">
        <w:trPr>
          <w:trHeight w:val="728"/>
        </w:trPr>
        <w:tc>
          <w:tcPr>
            <w:tcW w:w="1268" w:type="dxa"/>
            <w:tcBorders>
              <w:top w:val="single" w:sz="4" w:space="0" w:color="006EB7"/>
              <w:left w:val="single" w:sz="4" w:space="0" w:color="006EB7"/>
              <w:bottom w:val="single" w:sz="4" w:space="0" w:color="006EB7"/>
              <w:right w:val="single" w:sz="4" w:space="0" w:color="006EB7"/>
            </w:tcBorders>
            <w:vAlign w:val="center"/>
          </w:tcPr>
          <w:p w:rsidR="003A50ED" w:rsidRPr="000B0AAD" w:rsidRDefault="003A50ED" w:rsidP="006D664E">
            <w:pPr>
              <w:jc w:val="center"/>
              <w:rPr>
                <w:rFonts w:ascii="PT Sans" w:hAnsi="PT Sans" w:cs="Arial"/>
                <w:b/>
                <w:sz w:val="40"/>
                <w:szCs w:val="40"/>
              </w:rPr>
            </w:pPr>
            <w:r w:rsidRPr="000B0AAD">
              <w:rPr>
                <w:rFonts w:ascii="PT Sans" w:hAnsi="PT Sans" w:cs="Arial"/>
                <w:b/>
                <w:sz w:val="40"/>
                <w:szCs w:val="40"/>
              </w:rPr>
              <w:t>31</w:t>
            </w:r>
          </w:p>
          <w:p w:rsidR="003A50ED" w:rsidRPr="000B0AAD" w:rsidRDefault="003A50ED" w:rsidP="006D664E">
            <w:pPr>
              <w:jc w:val="center"/>
              <w:rPr>
                <w:rFonts w:ascii="PT Sans" w:hAnsi="PT Sans" w:cs="Arial"/>
                <w:b/>
                <w:sz w:val="40"/>
                <w:szCs w:val="40"/>
              </w:rPr>
            </w:pPr>
            <w:r w:rsidRPr="000B0AAD">
              <w:rPr>
                <w:rFonts w:ascii="PT Sans" w:hAnsi="PT Sans" w:cs="Arial"/>
                <w:b/>
                <w:szCs w:val="22"/>
              </w:rPr>
              <w:t>maggio</w:t>
            </w:r>
          </w:p>
        </w:tc>
        <w:tc>
          <w:tcPr>
            <w:tcW w:w="8478" w:type="dxa"/>
            <w:tcBorders>
              <w:top w:val="single" w:sz="4" w:space="0" w:color="006EB7"/>
              <w:left w:val="single" w:sz="4" w:space="0" w:color="006EB7"/>
              <w:bottom w:val="single" w:sz="4" w:space="0" w:color="006EB7"/>
              <w:right w:val="single" w:sz="4" w:space="0" w:color="006EB7"/>
            </w:tcBorders>
            <w:vAlign w:val="center"/>
          </w:tcPr>
          <w:p w:rsidR="003A50ED" w:rsidRPr="000B0AAD" w:rsidRDefault="003A50ED" w:rsidP="006D664E">
            <w:pPr>
              <w:spacing w:before="60"/>
              <w:jc w:val="both"/>
              <w:rPr>
                <w:rFonts w:ascii="PT Sans" w:hAnsi="PT Sans" w:cs="Arial"/>
                <w:b/>
                <w:bCs/>
                <w:szCs w:val="22"/>
              </w:rPr>
            </w:pPr>
            <w:r w:rsidRPr="000B0AAD">
              <w:rPr>
                <w:rFonts w:ascii="PT Sans" w:hAnsi="PT Sans" w:cs="Arial"/>
                <w:b/>
                <w:bCs/>
                <w:szCs w:val="22"/>
              </w:rPr>
              <w:t>Presentazione elenchi Intra 12 mensili</w:t>
            </w:r>
          </w:p>
          <w:p w:rsidR="003A50ED" w:rsidRPr="000B0AAD" w:rsidRDefault="003A50ED" w:rsidP="006D664E">
            <w:pPr>
              <w:jc w:val="both"/>
              <w:rPr>
                <w:rFonts w:ascii="PT Sans" w:hAnsi="PT Sans" w:cs="Arial"/>
                <w:snapToGrid w:val="0"/>
                <w:color w:val="000000"/>
                <w:szCs w:val="22"/>
              </w:rPr>
            </w:pPr>
            <w:r w:rsidRPr="000B0AAD">
              <w:rPr>
                <w:rFonts w:ascii="PT Sans" w:hAnsi="PT Sans" w:cs="Arial"/>
                <w:snapToGrid w:val="0"/>
                <w:color w:val="000000"/>
                <w:szCs w:val="22"/>
              </w:rPr>
              <w:t>Ultimo giorno utile per gli enti non commerciali e per gli agricoltori esonerati per l’invio telematico degli elenchi Intra-12 relativi agli acquisti intracomunitari effettuati nel mese di marzo.</w:t>
            </w:r>
          </w:p>
          <w:p w:rsidR="003A50ED" w:rsidRPr="000B0AAD" w:rsidRDefault="003A50ED" w:rsidP="006D664E">
            <w:pPr>
              <w:spacing w:before="60"/>
              <w:jc w:val="both"/>
              <w:rPr>
                <w:rFonts w:ascii="PT Sans" w:hAnsi="PT Sans"/>
              </w:rPr>
            </w:pPr>
          </w:p>
          <w:p w:rsidR="003A50ED" w:rsidRPr="000B0AAD" w:rsidRDefault="003A50ED" w:rsidP="006D664E">
            <w:pPr>
              <w:spacing w:before="60"/>
              <w:jc w:val="both"/>
              <w:rPr>
                <w:rFonts w:ascii="PT Sans" w:hAnsi="PT Sans" w:cs="Arial"/>
                <w:b/>
                <w:bCs/>
                <w:szCs w:val="22"/>
              </w:rPr>
            </w:pPr>
            <w:hyperlink r:id="rId9" w:history="1">
              <w:r w:rsidRPr="000B0AAD">
                <w:rPr>
                  <w:rFonts w:ascii="PT Sans" w:hAnsi="PT Sans"/>
                  <w:b/>
                  <w:szCs w:val="22"/>
                </w:rPr>
                <w:t>Enti non commerciali e agricoltori esonerati: versamento Iva relativa ad acquisti intracomunitari</w:t>
              </w:r>
            </w:hyperlink>
          </w:p>
          <w:p w:rsidR="003A50ED" w:rsidRPr="000B0AAD" w:rsidRDefault="003A50ED" w:rsidP="006D664E">
            <w:pPr>
              <w:spacing w:before="60"/>
              <w:jc w:val="both"/>
              <w:rPr>
                <w:rFonts w:ascii="PT Sans" w:hAnsi="PT Sans" w:cs="Arial"/>
                <w:snapToGrid w:val="0"/>
                <w:color w:val="000000"/>
                <w:szCs w:val="22"/>
              </w:rPr>
            </w:pPr>
            <w:r w:rsidRPr="000B0AAD">
              <w:rPr>
                <w:rFonts w:ascii="PT Sans" w:hAnsi="PT Sans" w:cs="Arial"/>
                <w:snapToGrid w:val="0"/>
                <w:color w:val="000000"/>
                <w:szCs w:val="22"/>
              </w:rPr>
              <w:t xml:space="preserve">Scade oggi per gli </w:t>
            </w:r>
            <w:hyperlink r:id="rId10" w:history="1">
              <w:r w:rsidRPr="000B0AAD">
                <w:rPr>
                  <w:rFonts w:ascii="PT Sans" w:hAnsi="PT Sans" w:cs="Arial"/>
                  <w:snapToGrid w:val="0"/>
                  <w:color w:val="000000"/>
                  <w:szCs w:val="22"/>
                </w:rPr>
                <w:t>enti non commerciali e gli agricoltori esonerati il termine per il versamento dell’Iva relativa ad acquisti intracomunitari</w:t>
              </w:r>
            </w:hyperlink>
            <w:r w:rsidRPr="000B0AAD">
              <w:rPr>
                <w:rFonts w:ascii="PT Sans" w:hAnsi="PT Sans" w:cs="Arial"/>
                <w:snapToGrid w:val="0"/>
                <w:color w:val="000000"/>
                <w:szCs w:val="22"/>
              </w:rPr>
              <w:t xml:space="preserve"> registrati nel mese precedente.</w:t>
            </w:r>
          </w:p>
          <w:p w:rsidR="003A50ED" w:rsidRPr="000B0AAD" w:rsidRDefault="003A50ED" w:rsidP="006D664E">
            <w:pPr>
              <w:jc w:val="both"/>
              <w:rPr>
                <w:rFonts w:ascii="PT Sans" w:hAnsi="PT Sans" w:cs="Arial"/>
                <w:snapToGrid w:val="0"/>
                <w:color w:val="000000"/>
                <w:szCs w:val="22"/>
              </w:rPr>
            </w:pPr>
          </w:p>
          <w:p w:rsidR="003A50ED" w:rsidRPr="000B0AAD" w:rsidRDefault="003A50ED" w:rsidP="006D664E">
            <w:pPr>
              <w:spacing w:before="60"/>
              <w:jc w:val="both"/>
              <w:rPr>
                <w:rFonts w:ascii="PT Sans" w:hAnsi="PT Sans" w:cs="Arial"/>
                <w:b/>
                <w:bCs/>
                <w:szCs w:val="22"/>
              </w:rPr>
            </w:pPr>
            <w:r w:rsidRPr="000B0AAD">
              <w:rPr>
                <w:rFonts w:ascii="PT Sans" w:hAnsi="PT Sans" w:cs="Arial"/>
                <w:b/>
                <w:bCs/>
                <w:szCs w:val="22"/>
              </w:rPr>
              <w:t>Presentazione del modello Uniemens Individuale</w:t>
            </w:r>
          </w:p>
          <w:p w:rsidR="003A50ED" w:rsidRPr="000B0AAD" w:rsidRDefault="003A50ED" w:rsidP="006D664E">
            <w:pPr>
              <w:pStyle w:val="PreformattatoHTML"/>
              <w:spacing w:line="240" w:lineRule="auto"/>
              <w:jc w:val="both"/>
              <w:rPr>
                <w:rFonts w:ascii="PT Sans" w:hAnsi="PT Sans" w:cs="Arial"/>
                <w:snapToGrid w:val="0"/>
                <w:color w:val="000000"/>
                <w:spacing w:val="-2"/>
                <w:sz w:val="22"/>
                <w:szCs w:val="22"/>
                <w:lang w:val="it-IT" w:eastAsia="it-IT"/>
              </w:rPr>
            </w:pPr>
            <w:r w:rsidRPr="000B0AAD">
              <w:rPr>
                <w:rFonts w:ascii="PT Sans" w:hAnsi="PT Sans" w:cs="Arial"/>
                <w:snapToGrid w:val="0"/>
                <w:color w:val="000000"/>
                <w:spacing w:val="-2"/>
                <w:sz w:val="22"/>
                <w:szCs w:val="22"/>
                <w:lang w:val="it-IT" w:eastAsia="it-IT"/>
              </w:rPr>
              <w:t xml:space="preserve">Scade oggi il termine per la presentazione della comunicazione relativa alle retribuzioni e contributi ovvero ai compensi corrisposti rispettivamente ai dipendenti, collaboratori coordinati e continuativi e associati in partecipazione relativi al mese di aprile. </w:t>
            </w:r>
          </w:p>
          <w:p w:rsidR="003A50ED" w:rsidRPr="000B0AAD" w:rsidRDefault="003A50ED" w:rsidP="006D664E">
            <w:pPr>
              <w:pStyle w:val="PreformattatoHTML"/>
              <w:spacing w:line="240" w:lineRule="auto"/>
              <w:jc w:val="both"/>
              <w:rPr>
                <w:rFonts w:ascii="PT Sans" w:hAnsi="PT Sans" w:cs="Arial"/>
                <w:snapToGrid w:val="0"/>
                <w:color w:val="000000"/>
                <w:spacing w:val="-2"/>
                <w:sz w:val="22"/>
                <w:szCs w:val="22"/>
                <w:lang w:val="it-IT" w:eastAsia="it-IT"/>
              </w:rPr>
            </w:pPr>
          </w:p>
          <w:p w:rsidR="003A50ED" w:rsidRPr="000B0AAD" w:rsidRDefault="003A50ED" w:rsidP="006D664E">
            <w:pPr>
              <w:tabs>
                <w:tab w:val="num" w:pos="68"/>
                <w:tab w:val="num" w:pos="382"/>
                <w:tab w:val="num" w:pos="2880"/>
              </w:tabs>
              <w:jc w:val="both"/>
              <w:rPr>
                <w:rFonts w:ascii="PT Sans" w:hAnsi="PT Sans" w:cs="Arial"/>
                <w:b/>
                <w:snapToGrid w:val="0"/>
                <w:szCs w:val="22"/>
              </w:rPr>
            </w:pPr>
            <w:r w:rsidRPr="000B0AAD">
              <w:rPr>
                <w:rFonts w:ascii="PT Sans" w:hAnsi="PT Sans" w:cs="Arial"/>
                <w:b/>
              </w:rPr>
              <w:t>Versamento</w:t>
            </w:r>
            <w:r w:rsidRPr="000B0AAD">
              <w:rPr>
                <w:rFonts w:ascii="PT Sans" w:hAnsi="PT Sans" w:cs="Arial"/>
                <w:b/>
                <w:snapToGrid w:val="0"/>
                <w:szCs w:val="22"/>
              </w:rPr>
              <w:t xml:space="preserve"> dell’imposta di registro sui contratti di locazione</w:t>
            </w:r>
          </w:p>
          <w:p w:rsidR="003A50ED" w:rsidRPr="000B0AAD" w:rsidRDefault="003A50ED" w:rsidP="006D664E">
            <w:pPr>
              <w:ind w:right="102"/>
              <w:jc w:val="both"/>
              <w:rPr>
                <w:rFonts w:ascii="PT Sans" w:hAnsi="PT Sans" w:cs="Arial"/>
              </w:rPr>
            </w:pPr>
            <w:r w:rsidRPr="000B0AAD">
              <w:rPr>
                <w:rFonts w:ascii="PT Sans" w:hAnsi="PT Sans" w:cs="Arial"/>
              </w:rPr>
              <w:t>Scade oggi il termine per il versamento dell’imposta di registro sui contratti di locazione nuovi o rinnovati tacitamente con decorrenza 1</w:t>
            </w:r>
            <w:r>
              <w:rPr>
                <w:rFonts w:ascii="PT Sans" w:hAnsi="PT Sans" w:cs="Arial"/>
              </w:rPr>
              <w:t xml:space="preserve">° maggio </w:t>
            </w:r>
            <w:r w:rsidRPr="000B0AAD">
              <w:rPr>
                <w:rFonts w:ascii="PT Sans" w:hAnsi="PT Sans" w:cs="Arial"/>
              </w:rPr>
              <w:t>2018.</w:t>
            </w:r>
          </w:p>
          <w:p w:rsidR="003A50ED" w:rsidRPr="000B0AAD" w:rsidRDefault="003A50ED" w:rsidP="006D664E">
            <w:pPr>
              <w:ind w:right="102"/>
              <w:jc w:val="both"/>
              <w:rPr>
                <w:rFonts w:ascii="PT Sans" w:hAnsi="PT Sans" w:cs="Arial"/>
              </w:rPr>
            </w:pPr>
          </w:p>
          <w:p w:rsidR="003A50ED" w:rsidRPr="000B0AAD" w:rsidRDefault="003A50ED" w:rsidP="006D664E">
            <w:pPr>
              <w:ind w:right="102"/>
              <w:jc w:val="both"/>
              <w:rPr>
                <w:rFonts w:ascii="PT Sans" w:hAnsi="PT Sans" w:cs="Arial"/>
                <w:b/>
                <w:bCs/>
                <w:szCs w:val="22"/>
              </w:rPr>
            </w:pPr>
            <w:r w:rsidRPr="000B0AAD">
              <w:rPr>
                <w:rFonts w:ascii="PT Sans" w:hAnsi="PT Sans" w:cs="Arial"/>
                <w:b/>
                <w:bCs/>
                <w:szCs w:val="22"/>
              </w:rPr>
              <w:t xml:space="preserve">Comunicazioni dati iva </w:t>
            </w:r>
          </w:p>
          <w:p w:rsidR="003A50ED" w:rsidRPr="000B0AAD" w:rsidRDefault="003A50ED" w:rsidP="006D664E">
            <w:pPr>
              <w:ind w:right="102"/>
              <w:jc w:val="both"/>
              <w:rPr>
                <w:rFonts w:ascii="PT Sans" w:hAnsi="PT Sans" w:cs="Arial"/>
              </w:rPr>
            </w:pPr>
            <w:r w:rsidRPr="000B0AAD">
              <w:rPr>
                <w:rFonts w:ascii="PT Sans" w:hAnsi="PT Sans" w:cs="Arial"/>
              </w:rPr>
              <w:lastRenderedPageBreak/>
              <w:t xml:space="preserve">Scade oggi il termine per la comunicazione all’Agenzia delle </w:t>
            </w:r>
            <w:r>
              <w:rPr>
                <w:rFonts w:ascii="PT Sans" w:hAnsi="PT Sans" w:cs="Arial"/>
              </w:rPr>
              <w:t>e</w:t>
            </w:r>
            <w:r w:rsidRPr="000B0AAD">
              <w:rPr>
                <w:rFonts w:ascii="PT Sans" w:hAnsi="PT Sans" w:cs="Arial"/>
              </w:rPr>
              <w:t xml:space="preserve">ntrate dei dati </w:t>
            </w:r>
            <w:r>
              <w:rPr>
                <w:rFonts w:ascii="PT Sans" w:hAnsi="PT Sans" w:cs="Arial"/>
              </w:rPr>
              <w:t>I</w:t>
            </w:r>
            <w:r w:rsidRPr="000B0AAD">
              <w:rPr>
                <w:rFonts w:ascii="PT Sans" w:hAnsi="PT Sans" w:cs="Arial"/>
              </w:rPr>
              <w:t xml:space="preserve">va relativi alle liquidazioni del primo trimestre 2018. </w:t>
            </w:r>
          </w:p>
          <w:p w:rsidR="003A50ED" w:rsidRPr="000B0AAD" w:rsidRDefault="003A50ED" w:rsidP="006D664E">
            <w:pPr>
              <w:ind w:right="102"/>
              <w:jc w:val="both"/>
              <w:rPr>
                <w:rFonts w:ascii="PT Sans" w:hAnsi="PT Sans" w:cs="Arial"/>
                <w:b/>
                <w:color w:val="000000"/>
                <w:szCs w:val="22"/>
              </w:rPr>
            </w:pPr>
          </w:p>
        </w:tc>
      </w:tr>
      <w:tr w:rsidR="003A50ED" w:rsidRPr="000B0AAD" w:rsidTr="006D664E">
        <w:trPr>
          <w:trHeight w:val="728"/>
        </w:trPr>
        <w:tc>
          <w:tcPr>
            <w:tcW w:w="1268" w:type="dxa"/>
            <w:tcBorders>
              <w:top w:val="single" w:sz="4" w:space="0" w:color="006EB7"/>
              <w:left w:val="single" w:sz="4" w:space="0" w:color="006EB7"/>
              <w:bottom w:val="single" w:sz="4" w:space="0" w:color="006EB7"/>
              <w:right w:val="single" w:sz="4" w:space="0" w:color="006EB7"/>
            </w:tcBorders>
            <w:vAlign w:val="center"/>
          </w:tcPr>
          <w:p w:rsidR="003A50ED" w:rsidRPr="000B0AAD" w:rsidRDefault="003A50ED" w:rsidP="006D664E">
            <w:pPr>
              <w:jc w:val="center"/>
              <w:rPr>
                <w:rFonts w:ascii="PT Sans" w:hAnsi="PT Sans" w:cs="Arial"/>
                <w:b/>
                <w:sz w:val="40"/>
                <w:szCs w:val="40"/>
              </w:rPr>
            </w:pPr>
            <w:r w:rsidRPr="000B0AAD">
              <w:rPr>
                <w:rFonts w:ascii="PT Sans" w:hAnsi="PT Sans" w:cs="Arial"/>
                <w:b/>
                <w:sz w:val="40"/>
                <w:szCs w:val="40"/>
              </w:rPr>
              <w:lastRenderedPageBreak/>
              <w:t>15</w:t>
            </w:r>
          </w:p>
          <w:p w:rsidR="003A50ED" w:rsidRPr="000B0AAD" w:rsidRDefault="003A50ED" w:rsidP="006D664E">
            <w:pPr>
              <w:jc w:val="center"/>
              <w:rPr>
                <w:rFonts w:ascii="PT Sans" w:hAnsi="PT Sans" w:cs="Arial"/>
                <w:b/>
                <w:sz w:val="40"/>
                <w:szCs w:val="40"/>
              </w:rPr>
            </w:pPr>
            <w:r w:rsidRPr="000B0AAD">
              <w:rPr>
                <w:rFonts w:ascii="PT Sans" w:hAnsi="PT Sans" w:cs="Arial"/>
                <w:b/>
                <w:szCs w:val="22"/>
              </w:rPr>
              <w:t>giugno</w:t>
            </w:r>
          </w:p>
        </w:tc>
        <w:tc>
          <w:tcPr>
            <w:tcW w:w="8478" w:type="dxa"/>
            <w:tcBorders>
              <w:top w:val="single" w:sz="4" w:space="0" w:color="006EB7"/>
              <w:left w:val="single" w:sz="4" w:space="0" w:color="006EB7"/>
              <w:bottom w:val="single" w:sz="4" w:space="0" w:color="006EB7"/>
              <w:right w:val="single" w:sz="4" w:space="0" w:color="006EB7"/>
            </w:tcBorders>
            <w:vAlign w:val="center"/>
          </w:tcPr>
          <w:p w:rsidR="003A50ED" w:rsidRPr="000B0AAD" w:rsidRDefault="003A50ED" w:rsidP="006D664E">
            <w:pPr>
              <w:tabs>
                <w:tab w:val="left" w:pos="9540"/>
              </w:tabs>
              <w:spacing w:before="60"/>
              <w:ind w:right="96"/>
              <w:jc w:val="both"/>
              <w:rPr>
                <w:rFonts w:ascii="PT Sans" w:hAnsi="PT Sans" w:cs="Arial"/>
                <w:b/>
                <w:bCs/>
              </w:rPr>
            </w:pPr>
            <w:r w:rsidRPr="000B0AAD">
              <w:rPr>
                <w:rFonts w:ascii="PT Sans" w:hAnsi="PT Sans" w:cs="Arial"/>
                <w:b/>
                <w:bCs/>
                <w:szCs w:val="22"/>
              </w:rPr>
              <w:t>Registrazioni contabili</w:t>
            </w:r>
          </w:p>
          <w:p w:rsidR="003A50ED" w:rsidRPr="000B0AAD" w:rsidRDefault="003A50ED" w:rsidP="006D664E">
            <w:pPr>
              <w:ind w:right="102"/>
              <w:jc w:val="both"/>
              <w:rPr>
                <w:rFonts w:ascii="PT Sans" w:hAnsi="PT Sans" w:cs="Arial"/>
                <w:bCs/>
              </w:rPr>
            </w:pPr>
            <w:r w:rsidRPr="000B0AAD">
              <w:rPr>
                <w:rFonts w:ascii="PT Sans" w:hAnsi="PT Sans" w:cs="Arial"/>
                <w:bCs/>
                <w:szCs w:val="22"/>
              </w:rPr>
              <w:t>Ultimo giorno per la registrazione cumulativa nel registro dei corrispettivi di scontrini fiscali e ricevute e per l’annotazione del documento riepilogativo delle fatture di importo inferiore a 300</w:t>
            </w:r>
            <w:r>
              <w:rPr>
                <w:rFonts w:ascii="PT Sans" w:hAnsi="PT Sans" w:cs="Arial"/>
                <w:bCs/>
                <w:szCs w:val="22"/>
              </w:rPr>
              <w:t xml:space="preserve"> euro</w:t>
            </w:r>
            <w:r w:rsidRPr="000B0AAD">
              <w:rPr>
                <w:rFonts w:ascii="PT Sans" w:hAnsi="PT Sans" w:cs="Arial"/>
                <w:bCs/>
                <w:szCs w:val="22"/>
              </w:rPr>
              <w:t>.</w:t>
            </w:r>
          </w:p>
          <w:p w:rsidR="003A50ED" w:rsidRPr="000B0AAD" w:rsidRDefault="003A50ED" w:rsidP="006D664E">
            <w:pPr>
              <w:jc w:val="both"/>
              <w:rPr>
                <w:rFonts w:ascii="PT Sans" w:hAnsi="PT Sans" w:cs="Arial"/>
                <w:bCs/>
              </w:rPr>
            </w:pPr>
          </w:p>
          <w:p w:rsidR="003A50ED" w:rsidRPr="000B0AAD" w:rsidRDefault="003A50ED" w:rsidP="006D664E">
            <w:pPr>
              <w:tabs>
                <w:tab w:val="left" w:pos="9540"/>
              </w:tabs>
              <w:ind w:right="98"/>
              <w:jc w:val="both"/>
              <w:rPr>
                <w:rFonts w:ascii="PT Sans" w:hAnsi="PT Sans" w:cs="Arial"/>
                <w:b/>
                <w:bCs/>
              </w:rPr>
            </w:pPr>
            <w:r w:rsidRPr="000B0AAD">
              <w:rPr>
                <w:rFonts w:ascii="PT Sans" w:hAnsi="PT Sans" w:cs="Arial"/>
                <w:b/>
                <w:bCs/>
                <w:szCs w:val="22"/>
              </w:rPr>
              <w:t>Fatturazione differita</w:t>
            </w:r>
          </w:p>
          <w:p w:rsidR="003A50ED" w:rsidRPr="000B0AAD" w:rsidRDefault="003A50ED" w:rsidP="006D664E">
            <w:pPr>
              <w:ind w:right="102"/>
              <w:jc w:val="both"/>
              <w:rPr>
                <w:rFonts w:ascii="PT Sans" w:hAnsi="PT Sans" w:cs="Arial"/>
                <w:bCs/>
              </w:rPr>
            </w:pPr>
            <w:r w:rsidRPr="000B0AAD">
              <w:rPr>
                <w:rFonts w:ascii="PT Sans" w:hAnsi="PT Sans" w:cs="Arial"/>
                <w:bCs/>
                <w:szCs w:val="22"/>
              </w:rPr>
              <w:t>Scade oggi il termine per l’emissione e l’annotazione delle fatture differite per le consegne o spedizioni avvenute nel mese precedente.</w:t>
            </w:r>
          </w:p>
          <w:p w:rsidR="003A50ED" w:rsidRPr="000B0AAD" w:rsidRDefault="003A50ED" w:rsidP="006D664E">
            <w:pPr>
              <w:jc w:val="both"/>
              <w:rPr>
                <w:rFonts w:ascii="PT Sans" w:hAnsi="PT Sans" w:cs="Arial"/>
                <w:bCs/>
              </w:rPr>
            </w:pPr>
          </w:p>
          <w:p w:rsidR="003A50ED" w:rsidRPr="000B0AAD" w:rsidRDefault="003A50ED" w:rsidP="006D664E">
            <w:pPr>
              <w:tabs>
                <w:tab w:val="left" w:pos="9540"/>
              </w:tabs>
              <w:ind w:right="98"/>
              <w:jc w:val="both"/>
              <w:rPr>
                <w:rFonts w:ascii="PT Sans" w:hAnsi="PT Sans" w:cs="Arial"/>
                <w:b/>
                <w:bCs/>
              </w:rPr>
            </w:pPr>
            <w:r w:rsidRPr="000B0AAD">
              <w:rPr>
                <w:rFonts w:ascii="PT Sans" w:hAnsi="PT Sans" w:cs="Arial"/>
                <w:b/>
                <w:bCs/>
                <w:szCs w:val="22"/>
              </w:rPr>
              <w:t>Registrazioni contabili associazioni sportive dilettantistiche</w:t>
            </w:r>
          </w:p>
          <w:p w:rsidR="003A50ED" w:rsidRPr="000B0AAD" w:rsidRDefault="003A50ED" w:rsidP="006D664E">
            <w:pPr>
              <w:ind w:right="102"/>
              <w:jc w:val="both"/>
              <w:rPr>
                <w:rFonts w:ascii="PT Sans" w:hAnsi="PT Sans"/>
                <w:b/>
                <w:snapToGrid w:val="0"/>
              </w:rPr>
            </w:pPr>
            <w:r w:rsidRPr="000B0AAD">
              <w:rPr>
                <w:rFonts w:ascii="PT Sans" w:hAnsi="PT Sans" w:cs="Arial"/>
                <w:bCs/>
                <w:szCs w:val="22"/>
              </w:rPr>
              <w:t>Scade oggi il termine per le associazioni sportive dilettantistiche per annotare i corrispettivi e i proventi conseguiti nell’esercizio di attività commerciali nel mese precedente. Le medesime disposizioni si applicano alle associazioni senza scopo di lucro.</w:t>
            </w:r>
          </w:p>
          <w:p w:rsidR="003A50ED" w:rsidRPr="000B0AAD" w:rsidRDefault="003A50ED" w:rsidP="006D664E">
            <w:pPr>
              <w:ind w:right="102"/>
              <w:jc w:val="both"/>
              <w:rPr>
                <w:rFonts w:ascii="PT Sans" w:hAnsi="PT Sans"/>
                <w:b/>
                <w:snapToGrid w:val="0"/>
              </w:rPr>
            </w:pPr>
          </w:p>
        </w:tc>
      </w:tr>
    </w:tbl>
    <w:p w:rsidR="003A50ED" w:rsidRPr="00301148" w:rsidRDefault="003A50ED" w:rsidP="00E619C0">
      <w:pPr>
        <w:spacing w:line="100" w:lineRule="exact"/>
        <w:jc w:val="both"/>
        <w:rPr>
          <w:rFonts w:ascii="PT Sans" w:hAnsi="PT Sans" w:cs="Arial"/>
          <w:szCs w:val="22"/>
        </w:rPr>
      </w:pPr>
      <w:r>
        <w:rPr>
          <w:rFonts w:ascii="PT Sans" w:hAnsi="PT Sans" w:cs="Arial"/>
          <w:szCs w:val="22"/>
        </w:rPr>
        <w:tab/>
      </w:r>
    </w:p>
    <w:sectPr w:rsidR="003A50ED" w:rsidRPr="00301148" w:rsidSect="005E09BD">
      <w:headerReference w:type="default" r:id="rId11"/>
      <w:footerReference w:type="default" r:id="rId12"/>
      <w:pgSz w:w="11906" w:h="16838" w:code="9"/>
      <w:pgMar w:top="1702" w:right="1133" w:bottom="1701" w:left="1134" w:header="0" w:footer="37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5FC9" w:rsidRDefault="00525FC9" w:rsidP="00D02796">
      <w:r>
        <w:separator/>
      </w:r>
    </w:p>
  </w:endnote>
  <w:endnote w:type="continuationSeparator" w:id="0">
    <w:p w:rsidR="00525FC9" w:rsidRDefault="00525FC9" w:rsidP="00D02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ヒラギノ角ゴ Pro W3">
    <w:altName w:val="Times New Roman"/>
    <w:charset w:val="00"/>
    <w:family w:val="roman"/>
    <w:pitch w:val="default"/>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Lucida Grande">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PT Sans">
    <w:altName w:val="Corbel"/>
    <w:charset w:val="00"/>
    <w:family w:val="swiss"/>
    <w:pitch w:val="variable"/>
    <w:sig w:usb0="00000001" w:usb1="5000204B" w:usb2="00000000" w:usb3="00000000" w:csb0="00000097"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InfoTextOT-Bold">
    <w:panose1 w:val="00000000000000000000"/>
    <w:charset w:val="00"/>
    <w:family w:val="swiss"/>
    <w:notTrueType/>
    <w:pitch w:val="variable"/>
    <w:sig w:usb0="800000EF" w:usb1="4000207B" w:usb2="00000008" w:usb3="00000000" w:csb0="00000001" w:csb1="00000000"/>
  </w:font>
  <w:font w:name="Tahoma">
    <w:panose1 w:val="020B0604030504040204"/>
    <w:charset w:val="00"/>
    <w:family w:val="swiss"/>
    <w:pitch w:val="variable"/>
    <w:sig w:usb0="E1002EFF" w:usb1="C000605B" w:usb2="00000029" w:usb3="00000000" w:csb0="000101FF" w:csb1="00000000"/>
  </w:font>
  <w:font w:name="InfoTextOT-Italic">
    <w:panose1 w:val="00000000000000000000"/>
    <w:charset w:val="00"/>
    <w:family w:val="swiss"/>
    <w:notTrueType/>
    <w:pitch w:val="variable"/>
    <w:sig w:usb0="800000EF" w:usb1="4000207B" w:usb2="00000008" w:usb3="00000000" w:csb0="00000001" w:csb1="00000000"/>
  </w:font>
  <w:font w:name="InfoTextOT">
    <w:altName w:val="InfoTextOT"/>
    <w:panose1 w:val="00000000000000000000"/>
    <w:charset w:val="00"/>
    <w:family w:val="swiss"/>
    <w:notTrueType/>
    <w:pitch w:val="variable"/>
    <w:sig w:usb0="800000EF" w:usb1="4000207B" w:usb2="00000008"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FC9" w:rsidRDefault="00525FC9" w:rsidP="005E09BD">
    <w:pPr>
      <w:pStyle w:val="Pidipagina"/>
      <w:jc w:val="center"/>
      <w:rPr>
        <w:rFonts w:ascii="Garamond" w:hAnsi="Garamond"/>
        <w:b/>
        <w:i/>
        <w:sz w:val="20"/>
        <w:szCs w:val="20"/>
      </w:rPr>
    </w:pPr>
    <w:r w:rsidRPr="00721EAA">
      <w:rPr>
        <w:b/>
        <w:i/>
        <w:noProof/>
        <w:sz w:val="20"/>
        <w:szCs w:val="20"/>
      </w:rPr>
      <mc:AlternateContent>
        <mc:Choice Requires="wps">
          <w:drawing>
            <wp:anchor distT="0" distB="0" distL="114300" distR="114300" simplePos="0" relativeHeight="251659264" behindDoc="0" locked="0" layoutInCell="1" allowOverlap="1" wp14:anchorId="01C1F82D" wp14:editId="095A7CA4">
              <wp:simplePos x="0" y="0"/>
              <wp:positionH relativeFrom="column">
                <wp:posOffset>-478155</wp:posOffset>
              </wp:positionH>
              <wp:positionV relativeFrom="paragraph">
                <wp:posOffset>-220669</wp:posOffset>
              </wp:positionV>
              <wp:extent cx="7086600" cy="7620"/>
              <wp:effectExtent l="0" t="0" r="19050" b="30480"/>
              <wp:wrapNone/>
              <wp:docPr id="7" name="Connettore diritto 7"/>
              <wp:cNvGraphicFramePr/>
              <a:graphic xmlns:a="http://schemas.openxmlformats.org/drawingml/2006/main">
                <a:graphicData uri="http://schemas.microsoft.com/office/word/2010/wordprocessingShape">
                  <wps:wsp>
                    <wps:cNvCnPr/>
                    <wps:spPr>
                      <a:xfrm flipV="1">
                        <a:off x="0" y="0"/>
                        <a:ext cx="708660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7D391FC9" id="Connettore diritto 7"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7.65pt,-17.4pt" to="520.3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" strokecolor="#4472c4 [3204]" strokeweight=".5pt">
              <v:stroke joinstyle="miter"/>
            </v:line>
          </w:pict>
        </mc:Fallback>
      </mc:AlternateContent>
    </w:r>
    <w:r>
      <w:rPr>
        <w:rFonts w:ascii="Garamond" w:hAnsi="Garamond"/>
        <w:b/>
        <w:i/>
        <w:sz w:val="20"/>
        <w:szCs w:val="20"/>
      </w:rPr>
      <w:t>Informativa e news per la clientela di studio</w:t>
    </w:r>
  </w:p>
  <w:p w:rsidR="00525FC9" w:rsidRDefault="003A50ED" w:rsidP="005E09BD">
    <w:pPr>
      <w:pStyle w:val="Pidipagina"/>
      <w:jc w:val="center"/>
      <w:rPr>
        <w:rFonts w:ascii="Garamond" w:hAnsi="Garamond"/>
        <w:b/>
        <w:i/>
        <w:sz w:val="20"/>
        <w:szCs w:val="20"/>
      </w:rPr>
    </w:pPr>
    <w:r>
      <w:rPr>
        <w:rFonts w:ascii="Garamond" w:hAnsi="Garamond"/>
        <w:b/>
        <w:i/>
        <w:sz w:val="20"/>
        <w:szCs w:val="20"/>
      </w:rPr>
      <w:t>Maggio</w:t>
    </w:r>
    <w:r w:rsidR="00525FC9">
      <w:rPr>
        <w:rFonts w:ascii="Garamond" w:hAnsi="Garamond"/>
        <w:b/>
        <w:i/>
        <w:sz w:val="20"/>
        <w:szCs w:val="20"/>
      </w:rPr>
      <w:t xml:space="preserve"> 2018</w:t>
    </w:r>
  </w:p>
  <w:p w:rsidR="00525FC9" w:rsidRPr="00CB35A0" w:rsidRDefault="00525FC9" w:rsidP="005E09BD">
    <w:pPr>
      <w:pStyle w:val="Pidipagina"/>
      <w:jc w:val="center"/>
      <w:rPr>
        <w:rFonts w:ascii="Garamond" w:hAnsi="Garamond"/>
        <w:b/>
        <w:i/>
        <w:sz w:val="20"/>
        <w:szCs w:val="20"/>
      </w:rPr>
    </w:pPr>
    <w:r w:rsidRPr="005E09BD">
      <w:rPr>
        <w:rFonts w:ascii="Garamond" w:hAnsi="Garamond"/>
        <w:b/>
        <w:i/>
        <w:sz w:val="20"/>
        <w:szCs w:val="20"/>
      </w:rPr>
      <w:fldChar w:fldCharType="begin"/>
    </w:r>
    <w:r w:rsidRPr="005E09BD">
      <w:rPr>
        <w:rFonts w:ascii="Garamond" w:hAnsi="Garamond"/>
        <w:b/>
        <w:i/>
        <w:sz w:val="20"/>
        <w:szCs w:val="20"/>
      </w:rPr>
      <w:instrText>PAGE   \* MERGEFORMAT</w:instrText>
    </w:r>
    <w:r w:rsidRPr="005E09BD">
      <w:rPr>
        <w:rFonts w:ascii="Garamond" w:hAnsi="Garamond"/>
        <w:b/>
        <w:i/>
        <w:sz w:val="20"/>
        <w:szCs w:val="20"/>
      </w:rPr>
      <w:fldChar w:fldCharType="separate"/>
    </w:r>
    <w:r w:rsidR="00572490">
      <w:rPr>
        <w:rFonts w:ascii="Garamond" w:hAnsi="Garamond"/>
        <w:b/>
        <w:i/>
        <w:noProof/>
        <w:sz w:val="20"/>
        <w:szCs w:val="20"/>
      </w:rPr>
      <w:t>4</w:t>
    </w:r>
    <w:r w:rsidRPr="005E09BD">
      <w:rPr>
        <w:rFonts w:ascii="Garamond" w:hAnsi="Garamond"/>
        <w:b/>
        <w:i/>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5FC9" w:rsidRDefault="00525FC9" w:rsidP="00D02796">
      <w:r>
        <w:separator/>
      </w:r>
    </w:p>
  </w:footnote>
  <w:footnote w:type="continuationSeparator" w:id="0">
    <w:p w:rsidR="00525FC9" w:rsidRDefault="00525FC9" w:rsidP="00D027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FC9" w:rsidRDefault="00525FC9" w:rsidP="00707E02">
    <w:pPr>
      <w:jc w:val="center"/>
      <w:rPr>
        <w:noProof/>
      </w:rPr>
    </w:pPr>
    <w:r>
      <w:rPr>
        <w:noProof/>
      </w:rPr>
      <w:drawing>
        <wp:anchor distT="0" distB="0" distL="114300" distR="114300" simplePos="0" relativeHeight="251660288" behindDoc="0" locked="0" layoutInCell="1" allowOverlap="1" wp14:anchorId="137C976E" wp14:editId="2DCA1B99">
          <wp:simplePos x="0" y="0"/>
          <wp:positionH relativeFrom="margin">
            <wp:posOffset>43180</wp:posOffset>
          </wp:positionH>
          <wp:positionV relativeFrom="margin">
            <wp:posOffset>-983615</wp:posOffset>
          </wp:positionV>
          <wp:extent cx="869315" cy="621030"/>
          <wp:effectExtent l="0" t="0" r="6985" b="7620"/>
          <wp:wrapSquare wrapText="bothSides"/>
          <wp:docPr id="17" name="Immagine 17" descr="C:\Users\V-sderiso\Desktop\LOGO STUD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sderiso\Desktop\LOGO STUDI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9315" cy="621030"/>
                  </a:xfrm>
                  <a:prstGeom prst="rect">
                    <a:avLst/>
                  </a:prstGeom>
                  <a:noFill/>
                  <a:ln>
                    <a:noFill/>
                  </a:ln>
                </pic:spPr>
              </pic:pic>
            </a:graphicData>
          </a:graphic>
        </wp:anchor>
      </w:drawing>
    </w:r>
    <w:r w:rsidRPr="00903FB8">
      <w:rPr>
        <w:noProof/>
      </w:rPr>
      <w:t xml:space="preserve"> </w:t>
    </w:r>
  </w:p>
  <w:p w:rsidR="00525FC9" w:rsidRDefault="00525FC9" w:rsidP="00707E02">
    <w:pPr>
      <w:jc w:val="center"/>
      <w:rPr>
        <w:rFonts w:ascii="Garamond" w:hAnsi="Garamond"/>
        <w:b/>
        <w:i/>
        <w:sz w:val="32"/>
        <w:szCs w:val="44"/>
      </w:rPr>
    </w:pPr>
    <w:r w:rsidRPr="00352FA2">
      <w:rPr>
        <w:rFonts w:ascii="Garamond" w:hAnsi="Garamond"/>
        <w:b/>
        <w:i/>
        <w:sz w:val="32"/>
        <w:szCs w:val="44"/>
      </w:rPr>
      <w:t>Studio Alfredo Veglianti e Partners</w:t>
    </w:r>
  </w:p>
  <w:p w:rsidR="00525FC9" w:rsidRPr="0002268F" w:rsidRDefault="00525FC9" w:rsidP="00707E02">
    <w:pPr>
      <w:jc w:val="center"/>
      <w:rPr>
        <w:rFonts w:ascii="Garamond" w:hAnsi="Garamond"/>
        <w:b/>
        <w:i/>
        <w:sz w:val="2"/>
        <w:szCs w:val="44"/>
      </w:rPr>
    </w:pPr>
  </w:p>
  <w:p w:rsidR="00525FC9" w:rsidRPr="00352FA2" w:rsidRDefault="00525FC9" w:rsidP="00707E02">
    <w:pPr>
      <w:jc w:val="center"/>
      <w:rPr>
        <w:rFonts w:ascii="Garamond" w:hAnsi="Garamond"/>
        <w:b/>
        <w:i/>
        <w:sz w:val="24"/>
        <w:szCs w:val="36"/>
      </w:rPr>
    </w:pPr>
    <w:r w:rsidRPr="00352FA2">
      <w:rPr>
        <w:rFonts w:ascii="Garamond" w:hAnsi="Garamond"/>
        <w:b/>
        <w:i/>
        <w:sz w:val="24"/>
        <w:szCs w:val="36"/>
      </w:rPr>
      <w:t>Dottore Commercialista</w:t>
    </w:r>
  </w:p>
  <w:p w:rsidR="00525FC9" w:rsidRPr="003C02A3" w:rsidRDefault="00525FC9" w:rsidP="00707E02">
    <w:pPr>
      <w:jc w:val="center"/>
      <w:rPr>
        <w:rFonts w:ascii="Garamond" w:hAnsi="Garamond"/>
        <w:b/>
        <w:i/>
        <w:sz w:val="24"/>
        <w:szCs w:val="36"/>
      </w:rPr>
    </w:pPr>
    <w:r>
      <w:rPr>
        <w:noProof/>
      </w:rPr>
      <mc:AlternateContent>
        <mc:Choice Requires="wps">
          <w:drawing>
            <wp:anchor distT="0" distB="0" distL="114300" distR="114300" simplePos="0" relativeHeight="251657216" behindDoc="0" locked="0" layoutInCell="1" allowOverlap="1" wp14:anchorId="3D917EBF" wp14:editId="11B827C7">
              <wp:simplePos x="0" y="0"/>
              <wp:positionH relativeFrom="column">
                <wp:posOffset>-480862</wp:posOffset>
              </wp:positionH>
              <wp:positionV relativeFrom="paragraph">
                <wp:posOffset>246380</wp:posOffset>
              </wp:positionV>
              <wp:extent cx="7086600" cy="7620"/>
              <wp:effectExtent l="0" t="0" r="19050" b="30480"/>
              <wp:wrapNone/>
              <wp:docPr id="6" name="Connettore diritto 6"/>
              <wp:cNvGraphicFramePr/>
              <a:graphic xmlns:a="http://schemas.openxmlformats.org/drawingml/2006/main">
                <a:graphicData uri="http://schemas.microsoft.com/office/word/2010/wordprocessingShape">
                  <wps:wsp>
                    <wps:cNvCnPr/>
                    <wps:spPr>
                      <a:xfrm flipV="1">
                        <a:off x="0" y="0"/>
                        <a:ext cx="708660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654D290A" id="Connettore diritto 6" o:spid="_x0000_s1026" style="position:absolute;flip:y;z-index:251657216;visibility:visible;mso-wrap-style:square;mso-wrap-distance-left:9pt;mso-wrap-distance-top:0;mso-wrap-distance-right:9pt;mso-wrap-distance-bottom:0;mso-position-horizontal:absolute;mso-position-horizontal-relative:text;mso-position-vertical:absolute;mso-position-vertical-relative:text" from="-37.85pt,19.4pt" to="520.1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" strokecolor="#4472c4 [3204]" strokeweight=".5pt">
              <v:stroke joinstyle="miter"/>
            </v:line>
          </w:pict>
        </mc:Fallback>
      </mc:AlternateContent>
    </w:r>
    <w:r w:rsidRPr="00352FA2">
      <w:rPr>
        <w:rFonts w:ascii="Garamond" w:hAnsi="Garamond"/>
        <w:b/>
        <w:i/>
        <w:sz w:val="24"/>
        <w:szCs w:val="36"/>
      </w:rPr>
      <w:t>Revisore Legale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894EE87B"/>
    <w:styleLink w:val="Elenco41"/>
    <w:lvl w:ilvl="0">
      <w:start w:val="1"/>
      <w:numFmt w:val="bullet"/>
      <w:lvlText w:val=""/>
      <w:lvlJc w:val="left"/>
      <w:pPr>
        <w:tabs>
          <w:tab w:val="num" w:pos="360"/>
        </w:tabs>
        <w:ind w:left="360" w:firstLine="0"/>
      </w:pPr>
      <w:rPr>
        <w:rFonts w:ascii="Wingdings" w:eastAsia="ヒラギノ角ゴ Pro W3" w:hAnsi="Wingdings" w:hint="default"/>
        <w:color w:val="000000"/>
        <w:position w:val="0"/>
      </w:rPr>
    </w:lvl>
    <w:lvl w:ilvl="1">
      <w:start w:val="1"/>
      <w:numFmt w:val="bullet"/>
      <w:lvlText w:val="o"/>
      <w:lvlJc w:val="left"/>
      <w:pPr>
        <w:tabs>
          <w:tab w:val="num" w:pos="360"/>
        </w:tabs>
        <w:ind w:left="360" w:firstLine="720"/>
      </w:pPr>
      <w:rPr>
        <w:rFonts w:ascii="Courier New" w:eastAsia="ヒラギノ角ゴ Pro W3" w:hAnsi="Courier New" w:hint="default"/>
        <w:color w:val="000000"/>
        <w:position w:val="0"/>
      </w:rPr>
    </w:lvl>
    <w:lvl w:ilvl="2">
      <w:start w:val="1"/>
      <w:numFmt w:val="bullet"/>
      <w:lvlText w:val=""/>
      <w:lvlJc w:val="left"/>
      <w:pPr>
        <w:tabs>
          <w:tab w:val="num" w:pos="360"/>
        </w:tabs>
        <w:ind w:left="360" w:firstLine="144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160"/>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2880"/>
      </w:pPr>
      <w:rPr>
        <w:rFonts w:ascii="Courier New" w:eastAsia="ヒラギノ角ゴ Pro W3" w:hAnsi="Courier New" w:hint="default"/>
        <w:color w:val="000000"/>
        <w:position w:val="0"/>
      </w:rPr>
    </w:lvl>
    <w:lvl w:ilvl="5">
      <w:start w:val="1"/>
      <w:numFmt w:val="bullet"/>
      <w:lvlText w:val=""/>
      <w:lvlJc w:val="left"/>
      <w:pPr>
        <w:tabs>
          <w:tab w:val="num" w:pos="360"/>
        </w:tabs>
        <w:ind w:left="360" w:firstLine="360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320"/>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040"/>
      </w:pPr>
      <w:rPr>
        <w:rFonts w:ascii="Courier New" w:eastAsia="ヒラギノ角ゴ Pro W3" w:hAnsi="Courier New" w:hint="default"/>
        <w:color w:val="000000"/>
        <w:position w:val="0"/>
      </w:rPr>
    </w:lvl>
    <w:lvl w:ilvl="8">
      <w:start w:val="1"/>
      <w:numFmt w:val="bullet"/>
      <w:lvlText w:val=""/>
      <w:lvlJc w:val="left"/>
      <w:pPr>
        <w:tabs>
          <w:tab w:val="num" w:pos="360"/>
        </w:tabs>
        <w:ind w:left="360" w:firstLine="5760"/>
      </w:pPr>
      <w:rPr>
        <w:rFonts w:ascii="Wingdings" w:eastAsia="ヒラギノ角ゴ Pro W3" w:hAnsi="Wingdings" w:hint="default"/>
        <w:color w:val="000000"/>
        <w:position w:val="0"/>
      </w:rPr>
    </w:lvl>
  </w:abstractNum>
  <w:abstractNum w:abstractNumId="1">
    <w:nsid w:val="01AB2F8A"/>
    <w:multiLevelType w:val="hybridMultilevel"/>
    <w:tmpl w:val="159C8370"/>
    <w:lvl w:ilvl="0" w:tplc="B1D01AC2">
      <w:start w:val="1"/>
      <w:numFmt w:val="bullet"/>
      <w:lvlText w:val=""/>
      <w:lvlJc w:val="left"/>
      <w:pPr>
        <w:ind w:left="720" w:hanging="360"/>
      </w:pPr>
      <w:rPr>
        <w:rFonts w:ascii="Symbol" w:hAnsi="Symbol" w:hint="default"/>
        <w:b/>
        <w:i w:val="0"/>
        <w:color w:val="000000"/>
        <w:sz w:val="20"/>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51C21BF"/>
    <w:multiLevelType w:val="hybridMultilevel"/>
    <w:tmpl w:val="AD74EC8A"/>
    <w:lvl w:ilvl="0" w:tplc="28800A08">
      <w:numFmt w:val="bullet"/>
      <w:lvlText w:val="-"/>
      <w:lvlJc w:val="left"/>
      <w:pPr>
        <w:ind w:left="1080" w:hanging="360"/>
      </w:pPr>
      <w:rPr>
        <w:rFonts w:ascii="PT Sans" w:eastAsia="Times New Roman" w:hAnsi="PT Sans"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nsid w:val="082809FE"/>
    <w:multiLevelType w:val="hybridMultilevel"/>
    <w:tmpl w:val="261A3E82"/>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nsid w:val="0A6A24D3"/>
    <w:multiLevelType w:val="hybridMultilevel"/>
    <w:tmpl w:val="5628CE14"/>
    <w:lvl w:ilvl="0" w:tplc="011851F0">
      <w:start w:val="1"/>
      <w:numFmt w:val="decimal"/>
      <w:pStyle w:val="puntielenconumeri"/>
      <w:lvlText w:val="%1."/>
      <w:lvlJc w:val="left"/>
      <w:pPr>
        <w:tabs>
          <w:tab w:val="num" w:pos="227"/>
        </w:tabs>
        <w:ind w:left="227" w:hanging="227"/>
      </w:pPr>
      <w:rPr>
        <w:rFonts w:ascii="Calibri" w:hAnsi="Calibri" w:hint="default"/>
        <w:b w:val="0"/>
        <w:i w:val="0"/>
        <w:color w:val="auto"/>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nsid w:val="0B950292"/>
    <w:multiLevelType w:val="hybridMultilevel"/>
    <w:tmpl w:val="DC7E88FA"/>
    <w:lvl w:ilvl="0" w:tplc="BC36FA2C">
      <w:start w:val="1"/>
      <w:numFmt w:val="bullet"/>
      <w:lvlText w:val=""/>
      <w:lvlJc w:val="left"/>
      <w:pPr>
        <w:tabs>
          <w:tab w:val="num" w:pos="227"/>
        </w:tabs>
        <w:ind w:left="227" w:hanging="227"/>
      </w:pPr>
      <w:rPr>
        <w:rFonts w:ascii="Symbol" w:hAnsi="Symbol" w:hint="default"/>
        <w:color w:val="006FB5"/>
        <w:sz w:val="20"/>
        <w:szCs w:val="20"/>
      </w:rPr>
    </w:lvl>
    <w:lvl w:ilvl="1" w:tplc="5BC29026">
      <w:start w:val="1"/>
      <w:numFmt w:val="bullet"/>
      <w:pStyle w:val="sottopuntielenco-"/>
      <w:lvlText w:val="-"/>
      <w:lvlJc w:val="left"/>
      <w:pPr>
        <w:tabs>
          <w:tab w:val="num" w:pos="454"/>
        </w:tabs>
        <w:ind w:left="454" w:hanging="227"/>
      </w:pPr>
      <w:rPr>
        <w:rFonts w:ascii="Times New Roman" w:hAnsi="Times New Roman" w:cs="Times New Roman" w:hint="default"/>
        <w:color w:val="auto"/>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0B9745D8"/>
    <w:multiLevelType w:val="hybridMultilevel"/>
    <w:tmpl w:val="43D47A44"/>
    <w:lvl w:ilvl="0" w:tplc="BDFE5436">
      <w:start w:val="1"/>
      <w:numFmt w:val="bullet"/>
      <w:lvlText w:val=""/>
      <w:lvlJc w:val="left"/>
      <w:pPr>
        <w:ind w:left="720" w:hanging="360"/>
      </w:pPr>
      <w:rPr>
        <w:rFonts w:ascii="Symbol" w:hAnsi="Symbol" w:hint="default"/>
        <w:color w:val="000000"/>
        <w:sz w:val="18"/>
        <w:szCs w:val="18"/>
        <w:u w:val="none" w:color="FFFFFF"/>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0E7D7925"/>
    <w:multiLevelType w:val="hybridMultilevel"/>
    <w:tmpl w:val="15FCA1C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nsid w:val="124D3A6A"/>
    <w:multiLevelType w:val="hybridMultilevel"/>
    <w:tmpl w:val="443C19CE"/>
    <w:lvl w:ilvl="0" w:tplc="BDFE5436">
      <w:start w:val="1"/>
      <w:numFmt w:val="bullet"/>
      <w:lvlText w:val=""/>
      <w:lvlJc w:val="left"/>
      <w:pPr>
        <w:ind w:left="360" w:hanging="360"/>
      </w:pPr>
      <w:rPr>
        <w:rFonts w:ascii="Symbol" w:hAnsi="Symbol" w:hint="default"/>
        <w:color w:val="000000"/>
        <w:sz w:val="18"/>
        <w:szCs w:val="18"/>
        <w:u w:val="none" w:color="FFFFFF"/>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nsid w:val="127F513C"/>
    <w:multiLevelType w:val="hybridMultilevel"/>
    <w:tmpl w:val="AB74013E"/>
    <w:lvl w:ilvl="0" w:tplc="2504673C">
      <w:start w:val="1"/>
      <w:numFmt w:val="bullet"/>
      <w:pStyle w:val="sottopuntielenco"/>
      <w:lvlText w:val=""/>
      <w:lvlJc w:val="left"/>
      <w:pPr>
        <w:tabs>
          <w:tab w:val="num" w:pos="454"/>
        </w:tabs>
        <w:ind w:left="454" w:hanging="227"/>
      </w:pPr>
      <w:rPr>
        <w:rFonts w:ascii="Symbol" w:hAnsi="Symbol" w:hint="default"/>
        <w:color w:val="auto"/>
        <w:sz w:val="20"/>
        <w:szCs w:val="2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nsid w:val="16A55F68"/>
    <w:multiLevelType w:val="hybridMultilevel"/>
    <w:tmpl w:val="C89EF2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8F522B7"/>
    <w:multiLevelType w:val="hybridMultilevel"/>
    <w:tmpl w:val="C6204AD6"/>
    <w:lvl w:ilvl="0" w:tplc="1A6E5EEA">
      <w:start w:val="1"/>
      <w:numFmt w:val="bullet"/>
      <w:pStyle w:val="testotabellapallino"/>
      <w:suff w:val="space"/>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1A6E2077"/>
    <w:multiLevelType w:val="hybridMultilevel"/>
    <w:tmpl w:val="3FEA3FB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nsid w:val="1A8A5D9D"/>
    <w:multiLevelType w:val="hybridMultilevel"/>
    <w:tmpl w:val="22FA20CE"/>
    <w:lvl w:ilvl="0" w:tplc="BDFE5436">
      <w:start w:val="1"/>
      <w:numFmt w:val="bullet"/>
      <w:lvlText w:val=""/>
      <w:lvlJc w:val="left"/>
      <w:pPr>
        <w:ind w:left="360" w:hanging="360"/>
      </w:pPr>
      <w:rPr>
        <w:rFonts w:ascii="Symbol" w:hAnsi="Symbol" w:hint="default"/>
        <w:color w:val="000000"/>
        <w:sz w:val="18"/>
        <w:szCs w:val="18"/>
        <w:u w:val="none" w:color="FFFFFF"/>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nsid w:val="23006EB4"/>
    <w:multiLevelType w:val="hybridMultilevel"/>
    <w:tmpl w:val="760C40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6C2125D"/>
    <w:multiLevelType w:val="hybridMultilevel"/>
    <w:tmpl w:val="67B2729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280862BA"/>
    <w:multiLevelType w:val="hybridMultilevel"/>
    <w:tmpl w:val="886AB15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nsid w:val="2DB70485"/>
    <w:multiLevelType w:val="hybridMultilevel"/>
    <w:tmpl w:val="5EA4411C"/>
    <w:lvl w:ilvl="0" w:tplc="3A1EE3C2">
      <w:start w:val="1"/>
      <w:numFmt w:val="bullet"/>
      <w:pStyle w:val="testopuntoelenco"/>
      <w:lvlText w:val=""/>
      <w:lvlJc w:val="left"/>
      <w:pPr>
        <w:tabs>
          <w:tab w:val="num" w:pos="227"/>
        </w:tabs>
        <w:ind w:left="227" w:hanging="227"/>
      </w:pPr>
      <w:rPr>
        <w:rFonts w:ascii="Symbol" w:hAnsi="Symbol" w:hint="default"/>
        <w:strike w:val="0"/>
        <w:color w:val="auto"/>
        <w:sz w:val="20"/>
        <w:szCs w:val="20"/>
      </w:rPr>
    </w:lvl>
    <w:lvl w:ilvl="1" w:tplc="1442A836">
      <w:start w:val="2"/>
      <w:numFmt w:val="bullet"/>
      <w:lvlText w:val="-"/>
      <w:lvlJc w:val="left"/>
      <w:pPr>
        <w:tabs>
          <w:tab w:val="num" w:pos="1440"/>
        </w:tabs>
        <w:ind w:left="1440" w:hanging="360"/>
      </w:pPr>
      <w:rPr>
        <w:rFonts w:ascii="Arial" w:eastAsia="Times New Roman" w:hAnsi="Arial" w:cs="Aria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nsid w:val="33F62632"/>
    <w:multiLevelType w:val="hybridMultilevel"/>
    <w:tmpl w:val="110EAEB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nsid w:val="391E7D04"/>
    <w:multiLevelType w:val="hybridMultilevel"/>
    <w:tmpl w:val="C83ADDA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nsid w:val="3AFB65FD"/>
    <w:multiLevelType w:val="hybridMultilevel"/>
    <w:tmpl w:val="E8B6194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nsid w:val="3C6402B1"/>
    <w:multiLevelType w:val="hybridMultilevel"/>
    <w:tmpl w:val="F53EE1B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nsid w:val="3D7B584C"/>
    <w:multiLevelType w:val="singleLevel"/>
    <w:tmpl w:val="545CD78E"/>
    <w:lvl w:ilvl="0">
      <w:start w:val="1"/>
      <w:numFmt w:val="bullet"/>
      <w:pStyle w:val="Rientro1riga"/>
      <w:lvlText w:val="-"/>
      <w:lvlJc w:val="left"/>
      <w:pPr>
        <w:tabs>
          <w:tab w:val="num" w:pos="360"/>
        </w:tabs>
        <w:ind w:left="284" w:hanging="284"/>
      </w:pPr>
      <w:rPr>
        <w:rFonts w:ascii="Times New Roman" w:hAnsi="Times New Roman" w:hint="default"/>
      </w:rPr>
    </w:lvl>
  </w:abstractNum>
  <w:abstractNum w:abstractNumId="23">
    <w:nsid w:val="506F65C6"/>
    <w:multiLevelType w:val="hybridMultilevel"/>
    <w:tmpl w:val="6D4ED3E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nsid w:val="550A19D8"/>
    <w:multiLevelType w:val="hybridMultilevel"/>
    <w:tmpl w:val="44E8C5DE"/>
    <w:lvl w:ilvl="0" w:tplc="BDFE5436">
      <w:start w:val="1"/>
      <w:numFmt w:val="bullet"/>
      <w:lvlText w:val=""/>
      <w:lvlJc w:val="left"/>
      <w:pPr>
        <w:ind w:left="720" w:hanging="360"/>
      </w:pPr>
      <w:rPr>
        <w:rFonts w:ascii="Symbol" w:hAnsi="Symbol" w:hint="default"/>
        <w:color w:val="000000"/>
        <w:sz w:val="18"/>
        <w:szCs w:val="18"/>
        <w:u w:val="none" w:color="FFFFFF"/>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595275B4"/>
    <w:multiLevelType w:val="hybridMultilevel"/>
    <w:tmpl w:val="EDEC07BA"/>
    <w:lvl w:ilvl="0" w:tplc="BDFE5436">
      <w:start w:val="1"/>
      <w:numFmt w:val="bullet"/>
      <w:lvlText w:val=""/>
      <w:lvlJc w:val="left"/>
      <w:pPr>
        <w:ind w:left="360" w:hanging="360"/>
      </w:pPr>
      <w:rPr>
        <w:rFonts w:ascii="Symbol" w:hAnsi="Symbol" w:hint="default"/>
        <w:color w:val="000000"/>
        <w:sz w:val="18"/>
        <w:szCs w:val="18"/>
        <w:u w:val="none" w:color="FFFFFF"/>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nsid w:val="5ACD3FCD"/>
    <w:multiLevelType w:val="hybridMultilevel"/>
    <w:tmpl w:val="D78EE2E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7">
    <w:nsid w:val="5F087759"/>
    <w:multiLevelType w:val="hybridMultilevel"/>
    <w:tmpl w:val="A6605CBA"/>
    <w:styleLink w:val="List4"/>
    <w:lvl w:ilvl="0" w:tplc="B538D952">
      <w:start w:val="1"/>
      <w:numFmt w:val="bullet"/>
      <w:pStyle w:val="sottoparagrafo"/>
      <w:lvlText w:val=""/>
      <w:lvlJc w:val="left"/>
      <w:pPr>
        <w:tabs>
          <w:tab w:val="num" w:pos="227"/>
        </w:tabs>
        <w:ind w:left="227" w:hanging="227"/>
      </w:pPr>
      <w:rPr>
        <w:rFonts w:ascii="Wingdings 3" w:hAnsi="Wingdings 3" w:hint="default"/>
        <w:color w:val="006EB7"/>
        <w:spacing w:val="0"/>
        <w:w w:val="100"/>
        <w:position w:val="0"/>
        <w:sz w:val="22"/>
        <w:szCs w:val="22"/>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28">
    <w:nsid w:val="651F2396"/>
    <w:multiLevelType w:val="hybridMultilevel"/>
    <w:tmpl w:val="D5B65ED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9">
    <w:nsid w:val="6BCF3785"/>
    <w:multiLevelType w:val="hybridMultilevel"/>
    <w:tmpl w:val="3872BC9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0">
    <w:nsid w:val="714F32A7"/>
    <w:multiLevelType w:val="hybridMultilevel"/>
    <w:tmpl w:val="D0EA38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7B2924D7"/>
    <w:multiLevelType w:val="hybridMultilevel"/>
    <w:tmpl w:val="4ADA0F94"/>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2">
    <w:nsid w:val="7D3E0A73"/>
    <w:multiLevelType w:val="hybridMultilevel"/>
    <w:tmpl w:val="30E2982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27"/>
  </w:num>
  <w:num w:numId="2">
    <w:abstractNumId w:val="0"/>
  </w:num>
  <w:num w:numId="3">
    <w:abstractNumId w:val="17"/>
  </w:num>
  <w:num w:numId="4">
    <w:abstractNumId w:val="4"/>
  </w:num>
  <w:num w:numId="5">
    <w:abstractNumId w:val="9"/>
  </w:num>
  <w:num w:numId="6">
    <w:abstractNumId w:val="5"/>
  </w:num>
  <w:num w:numId="7">
    <w:abstractNumId w:val="11"/>
  </w:num>
  <w:num w:numId="8">
    <w:abstractNumId w:val="2"/>
  </w:num>
  <w:num w:numId="9">
    <w:abstractNumId w:val="22"/>
  </w:num>
  <w:num w:numId="10">
    <w:abstractNumId w:val="25"/>
  </w:num>
  <w:num w:numId="11">
    <w:abstractNumId w:val="1"/>
  </w:num>
  <w:num w:numId="12">
    <w:abstractNumId w:val="13"/>
  </w:num>
  <w:num w:numId="13">
    <w:abstractNumId w:val="6"/>
  </w:num>
  <w:num w:numId="14">
    <w:abstractNumId w:val="14"/>
  </w:num>
  <w:num w:numId="15">
    <w:abstractNumId w:val="12"/>
  </w:num>
  <w:num w:numId="16">
    <w:abstractNumId w:val="29"/>
  </w:num>
  <w:num w:numId="17">
    <w:abstractNumId w:val="32"/>
  </w:num>
  <w:num w:numId="18">
    <w:abstractNumId w:val="23"/>
  </w:num>
  <w:num w:numId="19">
    <w:abstractNumId w:val="31"/>
  </w:num>
  <w:num w:numId="20">
    <w:abstractNumId w:val="30"/>
  </w:num>
  <w:num w:numId="21">
    <w:abstractNumId w:val="10"/>
  </w:num>
  <w:num w:numId="22">
    <w:abstractNumId w:val="15"/>
  </w:num>
  <w:num w:numId="23">
    <w:abstractNumId w:val="8"/>
  </w:num>
  <w:num w:numId="24">
    <w:abstractNumId w:val="24"/>
  </w:num>
  <w:num w:numId="25">
    <w:abstractNumId w:val="3"/>
  </w:num>
  <w:num w:numId="26">
    <w:abstractNumId w:val="21"/>
  </w:num>
  <w:num w:numId="27">
    <w:abstractNumId w:val="18"/>
  </w:num>
  <w:num w:numId="28">
    <w:abstractNumId w:val="28"/>
  </w:num>
  <w:num w:numId="29">
    <w:abstractNumId w:val="26"/>
  </w:num>
  <w:num w:numId="30">
    <w:abstractNumId w:val="7"/>
  </w:num>
  <w:num w:numId="31">
    <w:abstractNumId w:val="16"/>
  </w:num>
  <w:num w:numId="32">
    <w:abstractNumId w:val="19"/>
  </w:num>
  <w:num w:numId="33">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ttachedTemplate r:id="rId1"/>
  <w:defaultTabStop w:val="708"/>
  <w:hyphenationZone w:val="283"/>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7C7"/>
    <w:rsid w:val="00005FF8"/>
    <w:rsid w:val="0002268F"/>
    <w:rsid w:val="00034B3A"/>
    <w:rsid w:val="000522CA"/>
    <w:rsid w:val="00054DE0"/>
    <w:rsid w:val="00056A6A"/>
    <w:rsid w:val="000A46E7"/>
    <w:rsid w:val="000B39F3"/>
    <w:rsid w:val="000B5EF8"/>
    <w:rsid w:val="000B7C61"/>
    <w:rsid w:val="001326FB"/>
    <w:rsid w:val="00156EC6"/>
    <w:rsid w:val="001650F9"/>
    <w:rsid w:val="001746D4"/>
    <w:rsid w:val="001B255A"/>
    <w:rsid w:val="001B5183"/>
    <w:rsid w:val="001D57F4"/>
    <w:rsid w:val="001E0E63"/>
    <w:rsid w:val="001E56B6"/>
    <w:rsid w:val="00214D1D"/>
    <w:rsid w:val="00223354"/>
    <w:rsid w:val="00264A91"/>
    <w:rsid w:val="002B2B8F"/>
    <w:rsid w:val="002B59F4"/>
    <w:rsid w:val="002E4256"/>
    <w:rsid w:val="002E540D"/>
    <w:rsid w:val="00321D1B"/>
    <w:rsid w:val="003452CC"/>
    <w:rsid w:val="00352FA2"/>
    <w:rsid w:val="00360487"/>
    <w:rsid w:val="003A50ED"/>
    <w:rsid w:val="003B214F"/>
    <w:rsid w:val="003C02A3"/>
    <w:rsid w:val="003E0105"/>
    <w:rsid w:val="003E7D4A"/>
    <w:rsid w:val="003F5931"/>
    <w:rsid w:val="0042128D"/>
    <w:rsid w:val="004D1C71"/>
    <w:rsid w:val="004F4E65"/>
    <w:rsid w:val="0050750E"/>
    <w:rsid w:val="00525FC9"/>
    <w:rsid w:val="00551B4A"/>
    <w:rsid w:val="00572490"/>
    <w:rsid w:val="005B42D1"/>
    <w:rsid w:val="005B750E"/>
    <w:rsid w:val="005E09BD"/>
    <w:rsid w:val="006477E5"/>
    <w:rsid w:val="006F26E6"/>
    <w:rsid w:val="0070771D"/>
    <w:rsid w:val="00707E02"/>
    <w:rsid w:val="00721EAA"/>
    <w:rsid w:val="00724161"/>
    <w:rsid w:val="00766B0C"/>
    <w:rsid w:val="00773C3A"/>
    <w:rsid w:val="007807C7"/>
    <w:rsid w:val="007B5631"/>
    <w:rsid w:val="007D3A9E"/>
    <w:rsid w:val="00811A87"/>
    <w:rsid w:val="00837B0D"/>
    <w:rsid w:val="008A37D1"/>
    <w:rsid w:val="008B263C"/>
    <w:rsid w:val="008D0AC5"/>
    <w:rsid w:val="008E55D3"/>
    <w:rsid w:val="008E5620"/>
    <w:rsid w:val="00903FB8"/>
    <w:rsid w:val="00912D91"/>
    <w:rsid w:val="009310FD"/>
    <w:rsid w:val="00944B77"/>
    <w:rsid w:val="00950D9A"/>
    <w:rsid w:val="009931AA"/>
    <w:rsid w:val="00993277"/>
    <w:rsid w:val="009D5213"/>
    <w:rsid w:val="009D78C3"/>
    <w:rsid w:val="00A55A21"/>
    <w:rsid w:val="00A93F67"/>
    <w:rsid w:val="00AB42BA"/>
    <w:rsid w:val="00AB6101"/>
    <w:rsid w:val="00AD765D"/>
    <w:rsid w:val="00B02294"/>
    <w:rsid w:val="00B21D12"/>
    <w:rsid w:val="00B26C09"/>
    <w:rsid w:val="00B66A3E"/>
    <w:rsid w:val="00BB1FFE"/>
    <w:rsid w:val="00BB6277"/>
    <w:rsid w:val="00C446A3"/>
    <w:rsid w:val="00C45D0C"/>
    <w:rsid w:val="00C50D7F"/>
    <w:rsid w:val="00C71E74"/>
    <w:rsid w:val="00CA31E6"/>
    <w:rsid w:val="00CB35A0"/>
    <w:rsid w:val="00CC31D8"/>
    <w:rsid w:val="00CF0773"/>
    <w:rsid w:val="00D02796"/>
    <w:rsid w:val="00D15F68"/>
    <w:rsid w:val="00D357AC"/>
    <w:rsid w:val="00D453D6"/>
    <w:rsid w:val="00D54311"/>
    <w:rsid w:val="00D573D5"/>
    <w:rsid w:val="00D5777B"/>
    <w:rsid w:val="00D74A2B"/>
    <w:rsid w:val="00D824D1"/>
    <w:rsid w:val="00D835C7"/>
    <w:rsid w:val="00DA165A"/>
    <w:rsid w:val="00DA690E"/>
    <w:rsid w:val="00DC5376"/>
    <w:rsid w:val="00DC75D1"/>
    <w:rsid w:val="00DE0FFD"/>
    <w:rsid w:val="00DF22A7"/>
    <w:rsid w:val="00E30639"/>
    <w:rsid w:val="00E619C0"/>
    <w:rsid w:val="00E96E01"/>
    <w:rsid w:val="00EE5DD6"/>
    <w:rsid w:val="00EE7E69"/>
    <w:rsid w:val="00F0759D"/>
    <w:rsid w:val="00F13F60"/>
    <w:rsid w:val="00F1443C"/>
    <w:rsid w:val="00F90B6A"/>
    <w:rsid w:val="00FD4042"/>
    <w:rsid w:val="00FF43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37B0D"/>
    <w:pPr>
      <w:spacing w:after="0" w:line="240" w:lineRule="auto"/>
    </w:pPr>
    <w:rPr>
      <w:rFonts w:ascii="Calibri" w:eastAsia="Times New Roman" w:hAnsi="Calibri" w:cs="Times New Roman"/>
      <w:szCs w:val="24"/>
      <w:lang w:eastAsia="it-IT"/>
    </w:rPr>
  </w:style>
  <w:style w:type="paragraph" w:styleId="Titolo1">
    <w:name w:val="heading 1"/>
    <w:basedOn w:val="Normale"/>
    <w:next w:val="Normale"/>
    <w:link w:val="Titolo1Carattere"/>
    <w:qFormat/>
    <w:rsid w:val="00C50D7F"/>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C50D7F"/>
    <w:pPr>
      <w:keepNext/>
      <w:jc w:val="center"/>
      <w:outlineLvl w:val="1"/>
    </w:pPr>
    <w:rPr>
      <w:rFonts w:ascii="Arial" w:hAnsi="Arial" w:cs="Arial"/>
      <w:b/>
      <w:i/>
      <w:smallCaps/>
      <w:color w:val="FFFFFF"/>
      <w:sz w:val="28"/>
      <w:szCs w:val="28"/>
    </w:rPr>
  </w:style>
  <w:style w:type="paragraph" w:styleId="Titolo3">
    <w:name w:val="heading 3"/>
    <w:basedOn w:val="Normale"/>
    <w:next w:val="Normale"/>
    <w:link w:val="Titolo3Carattere"/>
    <w:qFormat/>
    <w:rsid w:val="00C50D7F"/>
    <w:pPr>
      <w:keepNext/>
      <w:spacing w:before="240" w:after="60"/>
      <w:outlineLvl w:val="2"/>
    </w:pPr>
    <w:rPr>
      <w:rFonts w:ascii="Arial" w:hAnsi="Arial" w:cs="Arial"/>
      <w:b/>
      <w:bCs/>
      <w:sz w:val="26"/>
      <w:szCs w:val="26"/>
    </w:rPr>
  </w:style>
  <w:style w:type="paragraph" w:styleId="Titolo6">
    <w:name w:val="heading 6"/>
    <w:basedOn w:val="Normale"/>
    <w:next w:val="Normale"/>
    <w:link w:val="Titolo6Carattere"/>
    <w:semiHidden/>
    <w:unhideWhenUsed/>
    <w:qFormat/>
    <w:rsid w:val="003F5931"/>
    <w:pPr>
      <w:spacing w:before="240" w:after="60"/>
      <w:outlineLvl w:val="5"/>
    </w:pPr>
    <w:rPr>
      <w:b/>
      <w:bCs/>
      <w:szCs w:val="22"/>
    </w:rPr>
  </w:style>
  <w:style w:type="paragraph" w:styleId="Titolo8">
    <w:name w:val="heading 8"/>
    <w:basedOn w:val="Normale"/>
    <w:next w:val="Normale"/>
    <w:link w:val="Titolo8Carattere"/>
    <w:qFormat/>
    <w:rsid w:val="00C50D7F"/>
    <w:pPr>
      <w:keepNext/>
      <w:jc w:val="both"/>
      <w:outlineLvl w:val="7"/>
    </w:pPr>
    <w:rPr>
      <w:rFonts w:ascii="Times New Roman" w:hAnsi="Times New Roman"/>
      <w:sz w:val="24"/>
      <w:szCs w:val="20"/>
    </w:rPr>
  </w:style>
  <w:style w:type="paragraph" w:styleId="Titolo9">
    <w:name w:val="heading 9"/>
    <w:basedOn w:val="Normale"/>
    <w:next w:val="Normale"/>
    <w:link w:val="Titolo9Carattere"/>
    <w:qFormat/>
    <w:rsid w:val="00C50D7F"/>
    <w:pPr>
      <w:keepNext/>
      <w:spacing w:line="360" w:lineRule="auto"/>
      <w:outlineLvl w:val="8"/>
    </w:pPr>
    <w:rPr>
      <w:rFonts w:ascii="Garamond" w:hAnsi="Garamond"/>
      <w:b/>
      <w:bCs/>
      <w:sz w:val="24"/>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semiHidden/>
    <w:unhideWhenUsed/>
  </w:style>
  <w:style w:type="paragraph" w:styleId="Intestazione">
    <w:name w:val="header"/>
    <w:basedOn w:val="Normale"/>
    <w:link w:val="IntestazioneCarattere"/>
    <w:unhideWhenUsed/>
    <w:rsid w:val="00D02796"/>
    <w:pPr>
      <w:tabs>
        <w:tab w:val="center" w:pos="4819"/>
        <w:tab w:val="right" w:pos="9638"/>
      </w:tabs>
    </w:pPr>
  </w:style>
  <w:style w:type="character" w:customStyle="1" w:styleId="IntestazioneCarattere">
    <w:name w:val="Intestazione Carattere"/>
    <w:basedOn w:val="Carpredefinitoparagrafo"/>
    <w:link w:val="Intestazione"/>
    <w:rsid w:val="00D02796"/>
  </w:style>
  <w:style w:type="paragraph" w:styleId="Pidipagina">
    <w:name w:val="footer"/>
    <w:basedOn w:val="Normale"/>
    <w:link w:val="PidipaginaCarattere"/>
    <w:unhideWhenUsed/>
    <w:rsid w:val="00D02796"/>
    <w:pPr>
      <w:tabs>
        <w:tab w:val="center" w:pos="4819"/>
        <w:tab w:val="right" w:pos="9638"/>
      </w:tabs>
    </w:pPr>
  </w:style>
  <w:style w:type="character" w:customStyle="1" w:styleId="PidipaginaCarattere">
    <w:name w:val="Piè di pagina Carattere"/>
    <w:basedOn w:val="Carpredefinitoparagrafo"/>
    <w:link w:val="Pidipagina"/>
    <w:rsid w:val="00D02796"/>
  </w:style>
  <w:style w:type="character" w:styleId="Collegamentoipertestuale">
    <w:name w:val="Hyperlink"/>
    <w:basedOn w:val="Carpredefinitoparagrafo"/>
    <w:unhideWhenUsed/>
    <w:rsid w:val="00721EAA"/>
    <w:rPr>
      <w:color w:val="0563C1" w:themeColor="hyperlink"/>
      <w:u w:val="single"/>
    </w:rPr>
  </w:style>
  <w:style w:type="paragraph" w:styleId="PreformattatoHTML">
    <w:name w:val="HTML Preformatted"/>
    <w:basedOn w:val="Normale"/>
    <w:link w:val="PreformattatoHTMLCarattere"/>
    <w:uiPriority w:val="99"/>
    <w:unhideWhenUsed/>
    <w:rsid w:val="0083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uto"/>
    </w:pPr>
    <w:rPr>
      <w:rFonts w:ascii="Courier New" w:hAnsi="Courier New"/>
      <w:sz w:val="24"/>
      <w:lang w:val="x-none" w:eastAsia="x-none"/>
    </w:rPr>
  </w:style>
  <w:style w:type="character" w:customStyle="1" w:styleId="PreformattatoHTMLCarattere">
    <w:name w:val="Preformattato HTML Carattere"/>
    <w:basedOn w:val="Carpredefinitoparagrafo"/>
    <w:link w:val="PreformattatoHTML"/>
    <w:uiPriority w:val="99"/>
    <w:rsid w:val="00837B0D"/>
    <w:rPr>
      <w:rFonts w:ascii="Courier New" w:eastAsia="Times New Roman" w:hAnsi="Courier New" w:cs="Times New Roman"/>
      <w:sz w:val="24"/>
      <w:szCs w:val="24"/>
      <w:lang w:val="x-none" w:eastAsia="x-none"/>
    </w:rPr>
  </w:style>
  <w:style w:type="paragraph" w:styleId="NormaleWeb">
    <w:name w:val="Normal (Web)"/>
    <w:basedOn w:val="Normale"/>
    <w:uiPriority w:val="99"/>
    <w:unhideWhenUsed/>
    <w:rsid w:val="00837B0D"/>
    <w:pPr>
      <w:spacing w:before="100" w:beforeAutospacing="1" w:after="100" w:afterAutospacing="1"/>
    </w:pPr>
    <w:rPr>
      <w:rFonts w:ascii="Arial Unicode MS" w:hAnsi="Arial Unicode MS"/>
      <w:sz w:val="24"/>
    </w:rPr>
  </w:style>
  <w:style w:type="paragraph" w:styleId="Titolo">
    <w:name w:val="Title"/>
    <w:basedOn w:val="Normale"/>
    <w:link w:val="TitoloCarattere"/>
    <w:uiPriority w:val="99"/>
    <w:qFormat/>
    <w:rsid w:val="00837B0D"/>
    <w:pPr>
      <w:jc w:val="center"/>
    </w:pPr>
    <w:rPr>
      <w:rFonts w:ascii="Times New Roman" w:hAnsi="Times New Roman"/>
      <w:b/>
      <w:bCs/>
      <w:sz w:val="24"/>
    </w:rPr>
  </w:style>
  <w:style w:type="character" w:customStyle="1" w:styleId="TitoloCarattere">
    <w:name w:val="Titolo Carattere"/>
    <w:basedOn w:val="Carpredefinitoparagrafo"/>
    <w:link w:val="Titolo"/>
    <w:uiPriority w:val="99"/>
    <w:rsid w:val="00837B0D"/>
    <w:rPr>
      <w:rFonts w:ascii="Times New Roman" w:eastAsia="Times New Roman" w:hAnsi="Times New Roman" w:cs="Times New Roman"/>
      <w:b/>
      <w:bCs/>
      <w:sz w:val="24"/>
      <w:szCs w:val="24"/>
      <w:lang w:eastAsia="it-IT"/>
    </w:rPr>
  </w:style>
  <w:style w:type="paragraph" w:styleId="Corpodeltesto2">
    <w:name w:val="Body Text 2"/>
    <w:basedOn w:val="Normale"/>
    <w:link w:val="Corpodeltesto2Carattere"/>
    <w:unhideWhenUsed/>
    <w:rsid w:val="00837B0D"/>
    <w:pPr>
      <w:snapToGrid w:val="0"/>
      <w:spacing w:line="360" w:lineRule="auto"/>
      <w:jc w:val="both"/>
    </w:pPr>
    <w:rPr>
      <w:rFonts w:ascii="Garamond" w:hAnsi="Garamond"/>
      <w:sz w:val="24"/>
      <w:szCs w:val="22"/>
    </w:rPr>
  </w:style>
  <w:style w:type="character" w:customStyle="1" w:styleId="Corpodeltesto2Carattere">
    <w:name w:val="Corpo del testo 2 Carattere"/>
    <w:basedOn w:val="Carpredefinitoparagrafo"/>
    <w:link w:val="Corpodeltesto2"/>
    <w:rsid w:val="00837B0D"/>
    <w:rPr>
      <w:rFonts w:ascii="Garamond" w:eastAsia="Times New Roman" w:hAnsi="Garamond" w:cs="Times New Roman"/>
      <w:sz w:val="24"/>
      <w:lang w:eastAsia="it-IT"/>
    </w:rPr>
  </w:style>
  <w:style w:type="paragraph" w:styleId="Testonormale">
    <w:name w:val="Plain Text"/>
    <w:basedOn w:val="Normale"/>
    <w:link w:val="TestonormaleCarattere"/>
    <w:unhideWhenUsed/>
    <w:rsid w:val="00837B0D"/>
    <w:rPr>
      <w:rFonts w:ascii="Consolas" w:hAnsi="Consolas" w:cs="Consolas"/>
      <w:sz w:val="21"/>
      <w:szCs w:val="21"/>
    </w:rPr>
  </w:style>
  <w:style w:type="character" w:customStyle="1" w:styleId="TestonormaleCarattere">
    <w:name w:val="Testo normale Carattere"/>
    <w:basedOn w:val="Carpredefinitoparagrafo"/>
    <w:link w:val="Testonormale"/>
    <w:rsid w:val="00837B0D"/>
    <w:rPr>
      <w:rFonts w:ascii="Consolas" w:eastAsia="Times New Roman" w:hAnsi="Consolas" w:cs="Consolas"/>
      <w:sz w:val="21"/>
      <w:szCs w:val="21"/>
      <w:lang w:eastAsia="it-IT"/>
    </w:rPr>
  </w:style>
  <w:style w:type="paragraph" w:styleId="Paragrafoelenco">
    <w:name w:val="List Paragraph"/>
    <w:basedOn w:val="Normale"/>
    <w:link w:val="ParagrafoelencoCarattere"/>
    <w:uiPriority w:val="99"/>
    <w:qFormat/>
    <w:rsid w:val="00837B0D"/>
    <w:pPr>
      <w:ind w:left="720"/>
      <w:contextualSpacing/>
    </w:pPr>
    <w:rPr>
      <w:rFonts w:ascii="Times New Roman" w:hAnsi="Times New Roman"/>
      <w:sz w:val="24"/>
    </w:rPr>
  </w:style>
  <w:style w:type="paragraph" w:customStyle="1" w:styleId="macrotemabox">
    <w:name w:val="macrotema box"/>
    <w:rsid w:val="00837B0D"/>
    <w:pPr>
      <w:spacing w:after="0" w:line="280" w:lineRule="exact"/>
      <w:jc w:val="center"/>
    </w:pPr>
    <w:rPr>
      <w:rFonts w:ascii="Calibri" w:eastAsia="Times New Roman" w:hAnsi="Calibri" w:cs="Times New Roman"/>
      <w:b/>
      <w:bCs/>
      <w:iCs/>
      <w:smallCaps/>
      <w:color w:val="FFFFFF"/>
      <w:sz w:val="32"/>
      <w:szCs w:val="20"/>
      <w:lang w:eastAsia="it-IT"/>
    </w:rPr>
  </w:style>
  <w:style w:type="paragraph" w:customStyle="1" w:styleId="testoflash">
    <w:name w:val="testo flash"/>
    <w:rsid w:val="00837B0D"/>
    <w:pPr>
      <w:spacing w:after="0" w:line="280" w:lineRule="exact"/>
      <w:jc w:val="both"/>
    </w:pPr>
    <w:rPr>
      <w:rFonts w:ascii="Calibri" w:eastAsia="Times New Roman" w:hAnsi="Calibri" w:cs="Times New Roman"/>
      <w:szCs w:val="20"/>
      <w:lang w:eastAsia="it-IT"/>
    </w:rPr>
  </w:style>
  <w:style w:type="paragraph" w:customStyle="1" w:styleId="fonteflash">
    <w:name w:val="fonte flash"/>
    <w:basedOn w:val="Normale"/>
    <w:rsid w:val="00837B0D"/>
    <w:pPr>
      <w:spacing w:before="60" w:after="40"/>
      <w:jc w:val="right"/>
    </w:pPr>
    <w:rPr>
      <w:b/>
      <w:bCs/>
      <w:sz w:val="20"/>
      <w:szCs w:val="20"/>
    </w:rPr>
  </w:style>
  <w:style w:type="paragraph" w:customStyle="1" w:styleId="titoloflash">
    <w:name w:val="titolo flash"/>
    <w:rsid w:val="00837B0D"/>
    <w:pPr>
      <w:spacing w:after="0" w:line="240" w:lineRule="auto"/>
    </w:pPr>
    <w:rPr>
      <w:rFonts w:ascii="Calibri" w:eastAsia="Times New Roman" w:hAnsi="Calibri" w:cs="Times New Roman"/>
      <w:b/>
      <w:bCs/>
      <w:szCs w:val="20"/>
      <w:lang w:eastAsia="it-IT"/>
    </w:rPr>
  </w:style>
  <w:style w:type="paragraph" w:customStyle="1" w:styleId="titoloinformativa">
    <w:name w:val="titolo informativa"/>
    <w:rsid w:val="00837B0D"/>
    <w:pPr>
      <w:spacing w:after="0" w:line="240" w:lineRule="auto"/>
      <w:jc w:val="center"/>
    </w:pPr>
    <w:rPr>
      <w:rFonts w:ascii="Calibri" w:eastAsia="Times New Roman" w:hAnsi="Calibri" w:cs="Times New Roman"/>
      <w:b/>
      <w:bCs/>
      <w:sz w:val="24"/>
      <w:szCs w:val="20"/>
      <w:lang w:eastAsia="it-IT"/>
    </w:rPr>
  </w:style>
  <w:style w:type="character" w:customStyle="1" w:styleId="corpotestoinformativaCarattere">
    <w:name w:val="corpo testo informativa Carattere"/>
    <w:link w:val="corpotestoinformativa"/>
    <w:locked/>
    <w:rsid w:val="00837B0D"/>
    <w:rPr>
      <w:rFonts w:ascii="Calibri" w:hAnsi="Calibri"/>
    </w:rPr>
  </w:style>
  <w:style w:type="paragraph" w:customStyle="1" w:styleId="corpotestoinformativa">
    <w:name w:val="corpo testo informativa"/>
    <w:link w:val="corpotestoinformativaCarattere"/>
    <w:rsid w:val="00837B0D"/>
    <w:pPr>
      <w:spacing w:after="0" w:line="280" w:lineRule="exact"/>
      <w:jc w:val="both"/>
    </w:pPr>
    <w:rPr>
      <w:rFonts w:ascii="Calibri" w:hAnsi="Calibri"/>
    </w:rPr>
  </w:style>
  <w:style w:type="paragraph" w:customStyle="1" w:styleId="Normale1">
    <w:name w:val="Normale1"/>
    <w:semiHidden/>
    <w:rsid w:val="00837B0D"/>
    <w:pPr>
      <w:spacing w:after="0" w:line="240" w:lineRule="auto"/>
    </w:pPr>
    <w:rPr>
      <w:rFonts w:ascii="Times New Roman" w:eastAsia="ヒラギノ角ゴ Pro W3" w:hAnsi="Times New Roman" w:cs="Times New Roman"/>
      <w:color w:val="000000"/>
      <w:sz w:val="24"/>
      <w:szCs w:val="20"/>
      <w:lang w:eastAsia="it-IT"/>
    </w:rPr>
  </w:style>
  <w:style w:type="paragraph" w:customStyle="1" w:styleId="paragrafo">
    <w:name w:val="paragrafo"/>
    <w:basedOn w:val="corpotestoinformativa"/>
    <w:rsid w:val="00837B0D"/>
    <w:rPr>
      <w:b/>
      <w:color w:val="D2232A"/>
    </w:rPr>
  </w:style>
  <w:style w:type="paragraph" w:customStyle="1" w:styleId="sottoparagrafo">
    <w:name w:val="sottoparagrafo"/>
    <w:basedOn w:val="NormaleWeb"/>
    <w:rsid w:val="00837B0D"/>
    <w:pPr>
      <w:numPr>
        <w:numId w:val="1"/>
      </w:numPr>
      <w:shd w:val="clear" w:color="auto" w:fill="FFFFFF"/>
      <w:spacing w:before="0" w:beforeAutospacing="0" w:after="0" w:afterAutospacing="0" w:line="280" w:lineRule="exact"/>
      <w:jc w:val="both"/>
    </w:pPr>
    <w:rPr>
      <w:rFonts w:ascii="Calibri" w:hAnsi="Calibri" w:cs="Arial"/>
      <w:i/>
      <w:sz w:val="22"/>
      <w:szCs w:val="22"/>
    </w:rPr>
  </w:style>
  <w:style w:type="paragraph" w:customStyle="1" w:styleId="indice">
    <w:name w:val="indice"/>
    <w:basedOn w:val="Normale"/>
    <w:rsid w:val="00837B0D"/>
    <w:pPr>
      <w:ind w:right="252"/>
      <w:jc w:val="both"/>
    </w:pPr>
    <w:rPr>
      <w:rFonts w:cs="Arial"/>
      <w:szCs w:val="22"/>
    </w:rPr>
  </w:style>
  <w:style w:type="character" w:customStyle="1" w:styleId="corpodeltestoCarattere">
    <w:name w:val="corpo del testo Carattere"/>
    <w:link w:val="corpodeltesto"/>
    <w:locked/>
    <w:rsid w:val="00837B0D"/>
    <w:rPr>
      <w:rFonts w:ascii="Arial" w:hAnsi="Arial" w:cs="Arial"/>
      <w:szCs w:val="23"/>
    </w:rPr>
  </w:style>
  <w:style w:type="paragraph" w:customStyle="1" w:styleId="corpodeltesto">
    <w:name w:val="corpo del testo"/>
    <w:basedOn w:val="Testonormale"/>
    <w:link w:val="corpodeltestoCarattere"/>
    <w:rsid w:val="00837B0D"/>
    <w:pPr>
      <w:spacing w:line="280" w:lineRule="exact"/>
      <w:ind w:left="1259"/>
      <w:jc w:val="both"/>
    </w:pPr>
    <w:rPr>
      <w:rFonts w:ascii="Arial" w:eastAsiaTheme="minorHAnsi" w:hAnsi="Arial" w:cs="Arial"/>
      <w:sz w:val="22"/>
      <w:szCs w:val="23"/>
      <w:lang w:eastAsia="en-US"/>
    </w:rPr>
  </w:style>
  <w:style w:type="paragraph" w:customStyle="1" w:styleId="Paragrafoelenco1">
    <w:name w:val="Paragrafo elenco1"/>
    <w:basedOn w:val="Normale"/>
    <w:rsid w:val="00837B0D"/>
    <w:pPr>
      <w:spacing w:after="200" w:line="276" w:lineRule="auto"/>
      <w:ind w:left="720"/>
      <w:contextualSpacing/>
    </w:pPr>
    <w:rPr>
      <w:szCs w:val="22"/>
      <w:lang w:eastAsia="en-US"/>
    </w:rPr>
  </w:style>
  <w:style w:type="paragraph" w:customStyle="1" w:styleId="font5">
    <w:name w:val="font5"/>
    <w:basedOn w:val="Normale"/>
    <w:rsid w:val="00837B0D"/>
    <w:pPr>
      <w:spacing w:before="100" w:beforeAutospacing="1" w:after="100" w:afterAutospacing="1"/>
    </w:pPr>
    <w:rPr>
      <w:rFonts w:ascii="Arial" w:eastAsia="Calibri" w:hAnsi="Arial" w:cs="Arial"/>
      <w:sz w:val="16"/>
      <w:szCs w:val="16"/>
    </w:rPr>
  </w:style>
  <w:style w:type="paragraph" w:customStyle="1" w:styleId="6P">
    <w:name w:val="6P"/>
    <w:basedOn w:val="Normale"/>
    <w:rsid w:val="00837B0D"/>
    <w:pPr>
      <w:widowControl w:val="0"/>
      <w:spacing w:line="-120" w:lineRule="auto"/>
      <w:jc w:val="both"/>
    </w:pPr>
    <w:rPr>
      <w:rFonts w:ascii="Arial" w:hAnsi="Arial"/>
      <w:szCs w:val="20"/>
    </w:rPr>
  </w:style>
  <w:style w:type="paragraph" w:customStyle="1" w:styleId="Testo">
    <w:name w:val="Testo"/>
    <w:basedOn w:val="Normale"/>
    <w:rsid w:val="00837B0D"/>
    <w:pPr>
      <w:spacing w:line="360" w:lineRule="auto"/>
      <w:jc w:val="both"/>
    </w:pPr>
    <w:rPr>
      <w:rFonts w:ascii="Arial" w:hAnsi="Arial"/>
      <w:sz w:val="24"/>
      <w:szCs w:val="18"/>
    </w:rPr>
  </w:style>
  <w:style w:type="character" w:customStyle="1" w:styleId="titolirubricheindice">
    <w:name w:val="titoli rubriche indice"/>
    <w:rsid w:val="00837B0D"/>
    <w:rPr>
      <w:b/>
      <w:bCs/>
      <w:color w:val="D2232A"/>
      <w:sz w:val="28"/>
    </w:rPr>
  </w:style>
  <w:style w:type="character" w:customStyle="1" w:styleId="apple-converted-space">
    <w:name w:val="apple-converted-space"/>
    <w:rsid w:val="00837B0D"/>
  </w:style>
  <w:style w:type="character" w:styleId="Collegamentovisitato">
    <w:name w:val="FollowedHyperlink"/>
    <w:basedOn w:val="Carpredefinitoparagrafo"/>
    <w:unhideWhenUsed/>
    <w:rsid w:val="00837B0D"/>
    <w:rPr>
      <w:color w:val="800080"/>
      <w:u w:val="single"/>
    </w:rPr>
  </w:style>
  <w:style w:type="character" w:styleId="Enfasicorsivo">
    <w:name w:val="Emphasis"/>
    <w:basedOn w:val="Carpredefinitoparagrafo"/>
    <w:uiPriority w:val="20"/>
    <w:qFormat/>
    <w:rsid w:val="00837B0D"/>
    <w:rPr>
      <w:i/>
      <w:iCs/>
    </w:rPr>
  </w:style>
  <w:style w:type="character" w:styleId="Enfasigrassetto">
    <w:name w:val="Strong"/>
    <w:basedOn w:val="Carpredefinitoparagrafo"/>
    <w:uiPriority w:val="22"/>
    <w:qFormat/>
    <w:rsid w:val="00837B0D"/>
    <w:rPr>
      <w:b/>
      <w:bCs/>
    </w:rPr>
  </w:style>
  <w:style w:type="character" w:customStyle="1" w:styleId="Titolo1Carattere">
    <w:name w:val="Titolo 1 Carattere"/>
    <w:basedOn w:val="Carpredefinitoparagrafo"/>
    <w:link w:val="Titolo1"/>
    <w:rsid w:val="00C50D7F"/>
    <w:rPr>
      <w:rFonts w:ascii="Arial" w:eastAsia="Times New Roman" w:hAnsi="Arial" w:cs="Arial"/>
      <w:b/>
      <w:bCs/>
      <w:kern w:val="32"/>
      <w:sz w:val="32"/>
      <w:szCs w:val="32"/>
      <w:lang w:eastAsia="it-IT"/>
    </w:rPr>
  </w:style>
  <w:style w:type="character" w:customStyle="1" w:styleId="Titolo2Carattere">
    <w:name w:val="Titolo 2 Carattere"/>
    <w:basedOn w:val="Carpredefinitoparagrafo"/>
    <w:link w:val="Titolo2"/>
    <w:rsid w:val="00C50D7F"/>
    <w:rPr>
      <w:rFonts w:ascii="Arial" w:eastAsia="Times New Roman" w:hAnsi="Arial" w:cs="Arial"/>
      <w:b/>
      <w:i/>
      <w:smallCaps/>
      <w:color w:val="FFFFFF"/>
      <w:sz w:val="28"/>
      <w:szCs w:val="28"/>
      <w:lang w:eastAsia="it-IT"/>
    </w:rPr>
  </w:style>
  <w:style w:type="character" w:customStyle="1" w:styleId="Titolo3Carattere">
    <w:name w:val="Titolo 3 Carattere"/>
    <w:basedOn w:val="Carpredefinitoparagrafo"/>
    <w:link w:val="Titolo3"/>
    <w:rsid w:val="00C50D7F"/>
    <w:rPr>
      <w:rFonts w:ascii="Arial" w:eastAsia="Times New Roman" w:hAnsi="Arial" w:cs="Arial"/>
      <w:b/>
      <w:bCs/>
      <w:sz w:val="26"/>
      <w:szCs w:val="26"/>
      <w:lang w:eastAsia="it-IT"/>
    </w:rPr>
  </w:style>
  <w:style w:type="character" w:customStyle="1" w:styleId="Titolo8Carattere">
    <w:name w:val="Titolo 8 Carattere"/>
    <w:basedOn w:val="Carpredefinitoparagrafo"/>
    <w:link w:val="Titolo8"/>
    <w:rsid w:val="00C50D7F"/>
    <w:rPr>
      <w:rFonts w:ascii="Times New Roman" w:eastAsia="Times New Roman" w:hAnsi="Times New Roman" w:cs="Times New Roman"/>
      <w:sz w:val="24"/>
      <w:szCs w:val="20"/>
      <w:lang w:eastAsia="it-IT"/>
    </w:rPr>
  </w:style>
  <w:style w:type="character" w:customStyle="1" w:styleId="Titolo9Carattere">
    <w:name w:val="Titolo 9 Carattere"/>
    <w:basedOn w:val="Carpredefinitoparagrafo"/>
    <w:link w:val="Titolo9"/>
    <w:rsid w:val="00C50D7F"/>
    <w:rPr>
      <w:rFonts w:ascii="Garamond" w:eastAsia="Times New Roman" w:hAnsi="Garamond" w:cs="Times New Roman"/>
      <w:b/>
      <w:bCs/>
      <w:sz w:val="24"/>
      <w:lang w:eastAsia="it-IT"/>
    </w:rPr>
  </w:style>
  <w:style w:type="character" w:customStyle="1" w:styleId="firma">
    <w:name w:val="firma"/>
    <w:rsid w:val="00C50D7F"/>
    <w:rPr>
      <w:b/>
      <w:bCs/>
      <w:i/>
      <w:iCs/>
    </w:rPr>
  </w:style>
  <w:style w:type="numbering" w:customStyle="1" w:styleId="Elenco41">
    <w:name w:val="Elenco 41"/>
    <w:semiHidden/>
    <w:rsid w:val="00C50D7F"/>
    <w:pPr>
      <w:numPr>
        <w:numId w:val="2"/>
      </w:numPr>
    </w:pPr>
  </w:style>
  <w:style w:type="paragraph" w:styleId="Testonotaapidipagina">
    <w:name w:val="footnote text"/>
    <w:aliases w:val="stile 1,Nota_2,Testo nota a piè di pagina Carattere1,Testo nota a piè di pagina Carattere Carattere,Testo nota a piè di pagina Carattere1 Carattere Carattere,Testo nota a piè di pagina Carattere2 Carattere Carattere"/>
    <w:basedOn w:val="Normale"/>
    <w:link w:val="TestonotaapidipaginaCarattere"/>
    <w:semiHidden/>
    <w:rsid w:val="00C50D7F"/>
    <w:rPr>
      <w:rFonts w:ascii="Times New Roman" w:hAnsi="Times New Roman"/>
      <w:sz w:val="20"/>
      <w:szCs w:val="20"/>
    </w:rPr>
  </w:style>
  <w:style w:type="character" w:customStyle="1" w:styleId="TestonotaapidipaginaCarattere">
    <w:name w:val="Testo nota a piè di pagina Carattere"/>
    <w:aliases w:val="stile 1 Carattere,Nota_2 Carattere,Testo nota a piè di pagina Carattere1 Carattere,Testo nota a piè di pagina Carattere Carattere Carattere,Testo nota a piè di pagina Carattere1 Carattere Carattere Carattere"/>
    <w:basedOn w:val="Carpredefinitoparagrafo"/>
    <w:link w:val="Testonotaapidipagina"/>
    <w:semiHidden/>
    <w:rsid w:val="00C50D7F"/>
    <w:rPr>
      <w:rFonts w:ascii="Times New Roman" w:eastAsia="Times New Roman" w:hAnsi="Times New Roman" w:cs="Times New Roman"/>
      <w:sz w:val="20"/>
      <w:szCs w:val="20"/>
      <w:lang w:eastAsia="it-IT"/>
    </w:rPr>
  </w:style>
  <w:style w:type="character" w:styleId="Rimandonotaapidipagina">
    <w:name w:val="footnote reference"/>
    <w:semiHidden/>
    <w:rsid w:val="00C50D7F"/>
    <w:rPr>
      <w:vertAlign w:val="superscript"/>
    </w:rPr>
  </w:style>
  <w:style w:type="paragraph" w:customStyle="1" w:styleId="Titoloscadenza">
    <w:name w:val="Titolo scadenza"/>
    <w:rsid w:val="00C50D7F"/>
    <w:pPr>
      <w:spacing w:after="0" w:line="280" w:lineRule="exact"/>
      <w:jc w:val="both"/>
    </w:pPr>
    <w:rPr>
      <w:rFonts w:ascii="Calibri" w:eastAsia="Times New Roman" w:hAnsi="Calibri" w:cs="Times New Roman"/>
      <w:b/>
      <w:bCs/>
      <w:color w:val="000000"/>
      <w:szCs w:val="20"/>
      <w:lang w:eastAsia="it-IT"/>
    </w:rPr>
  </w:style>
  <w:style w:type="paragraph" w:customStyle="1" w:styleId="nota">
    <w:name w:val="nota"/>
    <w:rsid w:val="00C50D7F"/>
    <w:pPr>
      <w:spacing w:after="0" w:line="240" w:lineRule="auto"/>
      <w:jc w:val="both"/>
    </w:pPr>
    <w:rPr>
      <w:rFonts w:ascii="Calibri" w:eastAsia="Times New Roman" w:hAnsi="Calibri" w:cs="Arial"/>
      <w:bCs/>
      <w:i/>
      <w:sz w:val="16"/>
      <w:szCs w:val="16"/>
      <w:lang w:eastAsia="it-IT"/>
    </w:rPr>
  </w:style>
  <w:style w:type="table" w:styleId="Grigliatabella">
    <w:name w:val="Table Grid"/>
    <w:basedOn w:val="Tabellanormale"/>
    <w:uiPriority w:val="39"/>
    <w:rsid w:val="00C50D7F"/>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pagina">
    <w:name w:val="page number"/>
    <w:basedOn w:val="Carpredefinitoparagrafo"/>
    <w:rsid w:val="00C50D7F"/>
  </w:style>
  <w:style w:type="paragraph" w:customStyle="1" w:styleId="rubrica">
    <w:name w:val="rubrica"/>
    <w:rsid w:val="00C50D7F"/>
    <w:pPr>
      <w:spacing w:after="0" w:line="240" w:lineRule="auto"/>
    </w:pPr>
    <w:rPr>
      <w:rFonts w:ascii="Calibri" w:eastAsia="Times New Roman" w:hAnsi="Calibri" w:cs="Arial"/>
      <w:b/>
      <w:sz w:val="32"/>
      <w:szCs w:val="32"/>
      <w:lang w:eastAsia="it-IT"/>
    </w:rPr>
  </w:style>
  <w:style w:type="paragraph" w:customStyle="1" w:styleId="testopuntoelenco">
    <w:name w:val="testo punto elenco"/>
    <w:rsid w:val="00C50D7F"/>
    <w:pPr>
      <w:numPr>
        <w:numId w:val="3"/>
      </w:numPr>
      <w:spacing w:after="0" w:line="280" w:lineRule="exact"/>
      <w:jc w:val="both"/>
    </w:pPr>
    <w:rPr>
      <w:rFonts w:ascii="Calibri" w:eastAsia="Times New Roman" w:hAnsi="Calibri" w:cs="Arial"/>
      <w:lang w:eastAsia="it-IT"/>
    </w:rPr>
  </w:style>
  <w:style w:type="paragraph" w:customStyle="1" w:styleId="puntielenconumeri">
    <w:name w:val="punti elenco numeri"/>
    <w:rsid w:val="00C50D7F"/>
    <w:pPr>
      <w:numPr>
        <w:numId w:val="4"/>
      </w:numPr>
      <w:shd w:val="clear" w:color="auto" w:fill="FFFFFF"/>
      <w:spacing w:after="0" w:line="280" w:lineRule="exact"/>
      <w:jc w:val="both"/>
    </w:pPr>
    <w:rPr>
      <w:rFonts w:ascii="Calibri" w:eastAsia="Times New Roman" w:hAnsi="Calibri" w:cs="Arial"/>
      <w:lang w:eastAsia="it-IT"/>
    </w:rPr>
  </w:style>
  <w:style w:type="paragraph" w:customStyle="1" w:styleId="sottopuntielenco">
    <w:name w:val="sottopunti elenco"/>
    <w:rsid w:val="00C50D7F"/>
    <w:pPr>
      <w:numPr>
        <w:numId w:val="5"/>
      </w:numPr>
      <w:shd w:val="clear" w:color="auto" w:fill="FFFFFF"/>
      <w:spacing w:after="0" w:line="280" w:lineRule="exact"/>
      <w:jc w:val="both"/>
    </w:pPr>
    <w:rPr>
      <w:rFonts w:ascii="Calibri" w:eastAsia="Times New Roman" w:hAnsi="Calibri" w:cs="Arial"/>
      <w:lang w:eastAsia="it-IT"/>
    </w:rPr>
  </w:style>
  <w:style w:type="paragraph" w:customStyle="1" w:styleId="sottopuntielenco-">
    <w:name w:val="sottopunti elenco -"/>
    <w:basedOn w:val="NormaleWeb"/>
    <w:rsid w:val="00C50D7F"/>
    <w:pPr>
      <w:numPr>
        <w:ilvl w:val="1"/>
        <w:numId w:val="6"/>
      </w:numPr>
      <w:shd w:val="clear" w:color="auto" w:fill="FFFFFF"/>
      <w:spacing w:before="0" w:beforeAutospacing="0" w:after="0" w:afterAutospacing="0" w:line="280" w:lineRule="exact"/>
      <w:jc w:val="both"/>
    </w:pPr>
    <w:rPr>
      <w:rFonts w:ascii="Calibri" w:hAnsi="Calibri" w:cs="Arial"/>
      <w:sz w:val="22"/>
      <w:szCs w:val="22"/>
    </w:rPr>
  </w:style>
  <w:style w:type="paragraph" w:customStyle="1" w:styleId="titolotabella">
    <w:name w:val="titolo tabella"/>
    <w:rsid w:val="00C50D7F"/>
    <w:pPr>
      <w:spacing w:after="0" w:line="280" w:lineRule="exact"/>
      <w:jc w:val="center"/>
    </w:pPr>
    <w:rPr>
      <w:rFonts w:ascii="Calibri" w:eastAsia="Times New Roman" w:hAnsi="Calibri" w:cs="Arial"/>
      <w:b/>
      <w:bCs/>
      <w:color w:val="FFFFFF"/>
      <w:lang w:eastAsia="it-IT"/>
    </w:rPr>
  </w:style>
  <w:style w:type="paragraph" w:customStyle="1" w:styleId="Titolettocirc">
    <w:name w:val="Titolettocirc"/>
    <w:rsid w:val="00C50D7F"/>
    <w:pPr>
      <w:spacing w:after="0" w:line="240" w:lineRule="auto"/>
      <w:jc w:val="both"/>
    </w:pPr>
    <w:rPr>
      <w:rFonts w:ascii="Garamond" w:eastAsia="Times New Roman" w:hAnsi="Garamond" w:cs="Times New Roman"/>
      <w:b/>
      <w:sz w:val="20"/>
      <w:szCs w:val="20"/>
      <w:lang w:eastAsia="it-IT"/>
    </w:rPr>
  </w:style>
  <w:style w:type="paragraph" w:customStyle="1" w:styleId="facsimile">
    <w:name w:val="fac simile"/>
    <w:basedOn w:val="Normale"/>
    <w:rsid w:val="00C50D7F"/>
    <w:pPr>
      <w:jc w:val="right"/>
    </w:pPr>
    <w:rPr>
      <w:rFonts w:cs="Arial"/>
      <w:iCs/>
      <w:color w:val="D2232A"/>
      <w:szCs w:val="22"/>
    </w:rPr>
  </w:style>
  <w:style w:type="paragraph" w:customStyle="1" w:styleId="Default">
    <w:name w:val="Default"/>
    <w:rsid w:val="00C50D7F"/>
    <w:pPr>
      <w:autoSpaceDE w:val="0"/>
      <w:autoSpaceDN w:val="0"/>
      <w:adjustRightInd w:val="0"/>
      <w:spacing w:after="0" w:line="240" w:lineRule="auto"/>
    </w:pPr>
    <w:rPr>
      <w:rFonts w:ascii="InfoTextOT-Bold" w:eastAsia="Times New Roman" w:hAnsi="InfoTextOT-Bold" w:cs="InfoTextOT-Bold"/>
      <w:color w:val="000000"/>
      <w:sz w:val="24"/>
      <w:szCs w:val="24"/>
      <w:lang w:eastAsia="it-IT"/>
    </w:rPr>
  </w:style>
  <w:style w:type="paragraph" w:customStyle="1" w:styleId="Pa25">
    <w:name w:val="Pa25"/>
    <w:basedOn w:val="Default"/>
    <w:next w:val="Default"/>
    <w:rsid w:val="00C50D7F"/>
    <w:pPr>
      <w:spacing w:line="221" w:lineRule="atLeast"/>
    </w:pPr>
    <w:rPr>
      <w:rFonts w:cs="Times New Roman"/>
      <w:color w:val="auto"/>
    </w:rPr>
  </w:style>
  <w:style w:type="paragraph" w:customStyle="1" w:styleId="Carattere">
    <w:name w:val="Carattere"/>
    <w:rsid w:val="00C50D7F"/>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jc w:val="both"/>
    </w:pPr>
    <w:rPr>
      <w:rFonts w:ascii="Arial" w:eastAsia="Times New Roman" w:hAnsi="Arial" w:cs="Arial"/>
      <w:snapToGrid w:val="0"/>
      <w:spacing w:val="-2"/>
      <w:sz w:val="18"/>
      <w:szCs w:val="18"/>
      <w:lang w:val="en-GB" w:eastAsia="en-GB"/>
    </w:rPr>
  </w:style>
  <w:style w:type="paragraph" w:customStyle="1" w:styleId="NoteCirc">
    <w:name w:val="NoteCirc"/>
    <w:rsid w:val="00C50D7F"/>
    <w:pPr>
      <w:spacing w:after="0" w:line="240" w:lineRule="auto"/>
      <w:jc w:val="both"/>
    </w:pPr>
    <w:rPr>
      <w:rFonts w:ascii="Garamond" w:eastAsia="Times New Roman" w:hAnsi="Garamond" w:cs="Times New Roman"/>
      <w:sz w:val="16"/>
      <w:szCs w:val="20"/>
      <w:lang w:eastAsia="it-IT"/>
    </w:rPr>
  </w:style>
  <w:style w:type="paragraph" w:customStyle="1" w:styleId="newstitolo">
    <w:name w:val="news titolo"/>
    <w:basedOn w:val="Normale"/>
    <w:qFormat/>
    <w:rsid w:val="00C50D7F"/>
    <w:pPr>
      <w:spacing w:line="280" w:lineRule="exact"/>
      <w:jc w:val="center"/>
    </w:pPr>
    <w:rPr>
      <w:rFonts w:ascii="PT Sans" w:hAnsi="PT Sans"/>
      <w:b/>
      <w:bCs/>
      <w:iCs/>
      <w:smallCaps/>
      <w:sz w:val="26"/>
      <w:szCs w:val="26"/>
    </w:rPr>
  </w:style>
  <w:style w:type="paragraph" w:customStyle="1" w:styleId="newsfonte">
    <w:name w:val="news fonte"/>
    <w:basedOn w:val="Normale"/>
    <w:qFormat/>
    <w:rsid w:val="00C50D7F"/>
    <w:pPr>
      <w:spacing w:before="60" w:after="60" w:line="280" w:lineRule="exact"/>
      <w:jc w:val="right"/>
    </w:pPr>
    <w:rPr>
      <w:rFonts w:ascii="PT Sans" w:hAnsi="PT Sans"/>
      <w:b/>
      <w:bCs/>
      <w:sz w:val="20"/>
      <w:szCs w:val="20"/>
    </w:rPr>
  </w:style>
  <w:style w:type="paragraph" w:styleId="Testofumetto">
    <w:name w:val="Balloon Text"/>
    <w:basedOn w:val="Normale"/>
    <w:link w:val="TestofumettoCarattere"/>
    <w:unhideWhenUsed/>
    <w:rsid w:val="00707E02"/>
    <w:rPr>
      <w:rFonts w:ascii="Tahoma" w:hAnsi="Tahoma" w:cs="Tahoma"/>
      <w:sz w:val="16"/>
      <w:szCs w:val="16"/>
    </w:rPr>
  </w:style>
  <w:style w:type="character" w:customStyle="1" w:styleId="TestofumettoCarattere">
    <w:name w:val="Testo fumetto Carattere"/>
    <w:basedOn w:val="Carpredefinitoparagrafo"/>
    <w:link w:val="Testofumetto"/>
    <w:rsid w:val="00707E02"/>
    <w:rPr>
      <w:rFonts w:ascii="Tahoma" w:eastAsia="Times New Roman" w:hAnsi="Tahoma" w:cs="Tahoma"/>
      <w:sz w:val="16"/>
      <w:szCs w:val="16"/>
      <w:lang w:eastAsia="it-IT"/>
    </w:rPr>
  </w:style>
  <w:style w:type="numbering" w:customStyle="1" w:styleId="Elenco42">
    <w:name w:val="Elenco 42"/>
    <w:semiHidden/>
    <w:rsid w:val="00D573D5"/>
  </w:style>
  <w:style w:type="paragraph" w:styleId="Corpotesto">
    <w:name w:val="Body Text"/>
    <w:basedOn w:val="Normale"/>
    <w:link w:val="CorpotestoCarattere"/>
    <w:rsid w:val="000B7C61"/>
    <w:pPr>
      <w:spacing w:after="120"/>
    </w:pPr>
  </w:style>
  <w:style w:type="character" w:customStyle="1" w:styleId="CorpotestoCarattere">
    <w:name w:val="Corpo testo Carattere"/>
    <w:basedOn w:val="Carpredefinitoparagrafo"/>
    <w:link w:val="Corpotesto"/>
    <w:rsid w:val="000B7C61"/>
    <w:rPr>
      <w:rFonts w:ascii="Calibri" w:eastAsia="Times New Roman" w:hAnsi="Calibri" w:cs="Times New Roman"/>
      <w:szCs w:val="24"/>
      <w:lang w:eastAsia="it-IT"/>
    </w:rPr>
  </w:style>
  <w:style w:type="paragraph" w:customStyle="1" w:styleId="abstractarticoli">
    <w:name w:val="abstract  (articoli)"/>
    <w:basedOn w:val="Normale"/>
    <w:uiPriority w:val="1"/>
    <w:rsid w:val="009D5213"/>
    <w:pPr>
      <w:widowControl w:val="0"/>
      <w:suppressAutoHyphens/>
      <w:autoSpaceDE w:val="0"/>
      <w:autoSpaceDN w:val="0"/>
      <w:adjustRightInd w:val="0"/>
      <w:jc w:val="both"/>
      <w:textAlignment w:val="center"/>
    </w:pPr>
    <w:rPr>
      <w:rFonts w:ascii="PT Sans" w:hAnsi="PT Sans" w:cs="InfoTextOT-Italic"/>
      <w:i/>
      <w:iCs/>
      <w:color w:val="000000"/>
      <w:sz w:val="26"/>
      <w:szCs w:val="26"/>
    </w:rPr>
  </w:style>
  <w:style w:type="paragraph" w:customStyle="1" w:styleId="testotabella10ok">
    <w:name w:val="testo tabella 10 ok"/>
    <w:basedOn w:val="Normale"/>
    <w:uiPriority w:val="5"/>
    <w:qFormat/>
    <w:rsid w:val="009D5213"/>
    <w:pPr>
      <w:spacing w:line="320" w:lineRule="exact"/>
      <w:jc w:val="both"/>
    </w:pPr>
    <w:rPr>
      <w:rFonts w:ascii="PT Sans" w:hAnsi="PT Sans"/>
      <w:color w:val="000000"/>
      <w:sz w:val="20"/>
      <w:szCs w:val="20"/>
    </w:rPr>
  </w:style>
  <w:style w:type="paragraph" w:customStyle="1" w:styleId="testotabella10g">
    <w:name w:val="testo tabella 10 g"/>
    <w:basedOn w:val="testotabella10ok"/>
    <w:uiPriority w:val="5"/>
    <w:qFormat/>
    <w:rsid w:val="009D5213"/>
    <w:pPr>
      <w:jc w:val="center"/>
    </w:pPr>
    <w:rPr>
      <w:b/>
    </w:rPr>
  </w:style>
  <w:style w:type="paragraph" w:customStyle="1" w:styleId="autoriok">
    <w:name w:val="autori ok"/>
    <w:basedOn w:val="Normale"/>
    <w:uiPriority w:val="1"/>
    <w:qFormat/>
    <w:rsid w:val="009D5213"/>
    <w:pPr>
      <w:widowControl w:val="0"/>
      <w:autoSpaceDE w:val="0"/>
      <w:autoSpaceDN w:val="0"/>
      <w:adjustRightInd w:val="0"/>
      <w:spacing w:before="120" w:line="280" w:lineRule="atLeast"/>
      <w:jc w:val="both"/>
      <w:textAlignment w:val="center"/>
    </w:pPr>
    <w:rPr>
      <w:rFonts w:ascii="PT Sans" w:hAnsi="PT Sans" w:cs="InfoTextOT"/>
      <w:color w:val="000000"/>
      <w:szCs w:val="23"/>
    </w:rPr>
  </w:style>
  <w:style w:type="numbering" w:customStyle="1" w:styleId="Elenco43">
    <w:name w:val="Elenco 43"/>
    <w:semiHidden/>
    <w:rsid w:val="001650F9"/>
  </w:style>
  <w:style w:type="paragraph" w:customStyle="1" w:styleId="Carattere0">
    <w:name w:val="Carattere"/>
    <w:rsid w:val="001650F9"/>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jc w:val="both"/>
    </w:pPr>
    <w:rPr>
      <w:rFonts w:ascii="Arial" w:eastAsia="Times New Roman" w:hAnsi="Arial" w:cs="Arial"/>
      <w:snapToGrid w:val="0"/>
      <w:spacing w:val="-2"/>
      <w:sz w:val="18"/>
      <w:szCs w:val="18"/>
      <w:lang w:val="en-GB" w:eastAsia="en-GB"/>
    </w:rPr>
  </w:style>
  <w:style w:type="paragraph" w:customStyle="1" w:styleId="TITOLOparagrafoarticoli">
    <w:name w:val="TITOLO paragrafo (articoli)"/>
    <w:basedOn w:val="Normale"/>
    <w:rsid w:val="001650F9"/>
    <w:pPr>
      <w:widowControl w:val="0"/>
      <w:autoSpaceDE w:val="0"/>
      <w:autoSpaceDN w:val="0"/>
      <w:adjustRightInd w:val="0"/>
      <w:spacing w:line="360" w:lineRule="auto"/>
      <w:jc w:val="both"/>
      <w:textAlignment w:val="center"/>
    </w:pPr>
    <w:rPr>
      <w:rFonts w:ascii="PT Sans" w:hAnsi="PT Sans" w:cs="Calibri-Bold"/>
      <w:b/>
      <w:bCs/>
      <w:color w:val="006EB7"/>
      <w:sz w:val="26"/>
      <w:szCs w:val="26"/>
    </w:rPr>
  </w:style>
  <w:style w:type="paragraph" w:customStyle="1" w:styleId="testotabellapallino">
    <w:name w:val="testo tabella pallino"/>
    <w:basedOn w:val="Normale"/>
    <w:uiPriority w:val="5"/>
    <w:qFormat/>
    <w:rsid w:val="001650F9"/>
    <w:pPr>
      <w:numPr>
        <w:numId w:val="7"/>
      </w:numPr>
      <w:tabs>
        <w:tab w:val="num" w:pos="227"/>
      </w:tabs>
      <w:spacing w:line="320" w:lineRule="exact"/>
      <w:ind w:left="0" w:firstLine="0"/>
      <w:jc w:val="both"/>
    </w:pPr>
    <w:rPr>
      <w:rFonts w:ascii="PT Sans" w:hAnsi="PT Sans"/>
      <w:color w:val="000000"/>
      <w:sz w:val="20"/>
      <w:szCs w:val="20"/>
    </w:rPr>
  </w:style>
  <w:style w:type="paragraph" w:customStyle="1" w:styleId="normale0">
    <w:name w:val="normale"/>
    <w:aliases w:val="pararagrafo sotto citazione"/>
    <w:basedOn w:val="Normale"/>
    <w:uiPriority w:val="2"/>
    <w:qFormat/>
    <w:rsid w:val="001650F9"/>
    <w:pPr>
      <w:widowControl w:val="0"/>
      <w:autoSpaceDE w:val="0"/>
      <w:autoSpaceDN w:val="0"/>
      <w:adjustRightInd w:val="0"/>
      <w:spacing w:before="120" w:line="360" w:lineRule="auto"/>
      <w:jc w:val="both"/>
      <w:textAlignment w:val="center"/>
    </w:pPr>
    <w:rPr>
      <w:rFonts w:ascii="PT Sans" w:hAnsi="PT Sans" w:cs="Calibri"/>
      <w:bCs/>
      <w:szCs w:val="22"/>
    </w:rPr>
  </w:style>
  <w:style w:type="paragraph" w:customStyle="1" w:styleId="flashARGOMENTORASSEGNA">
    <w:name w:val="flash ARGOMENTO (RASSEGNA)"/>
    <w:basedOn w:val="Normale"/>
    <w:uiPriority w:val="6"/>
    <w:rsid w:val="001650F9"/>
    <w:pPr>
      <w:widowControl w:val="0"/>
      <w:pBdr>
        <w:bottom w:val="single" w:sz="6" w:space="2" w:color="006EB7"/>
      </w:pBdr>
      <w:autoSpaceDE w:val="0"/>
      <w:autoSpaceDN w:val="0"/>
      <w:adjustRightInd w:val="0"/>
      <w:spacing w:after="60" w:line="280" w:lineRule="atLeast"/>
      <w:jc w:val="both"/>
      <w:textAlignment w:val="center"/>
    </w:pPr>
    <w:rPr>
      <w:rFonts w:ascii="PT Sans" w:hAnsi="PT Sans" w:cs="Calibri"/>
      <w:b/>
      <w:bCs/>
      <w:color w:val="006EB7"/>
      <w:sz w:val="32"/>
      <w:szCs w:val="32"/>
    </w:rPr>
  </w:style>
  <w:style w:type="paragraph" w:customStyle="1" w:styleId="flashTESTOsingola">
    <w:name w:val="flash  TESTO singola"/>
    <w:basedOn w:val="Normale"/>
    <w:uiPriority w:val="6"/>
    <w:rsid w:val="001650F9"/>
    <w:pPr>
      <w:widowControl w:val="0"/>
      <w:autoSpaceDE w:val="0"/>
      <w:autoSpaceDN w:val="0"/>
      <w:adjustRightInd w:val="0"/>
      <w:jc w:val="both"/>
      <w:textAlignment w:val="center"/>
    </w:pPr>
    <w:rPr>
      <w:rFonts w:ascii="PT Sans" w:hAnsi="PT Sans" w:cs="Calibri"/>
      <w:color w:val="000000"/>
      <w:szCs w:val="22"/>
    </w:rPr>
  </w:style>
  <w:style w:type="numbering" w:customStyle="1" w:styleId="Elenco44">
    <w:name w:val="Elenco 44"/>
    <w:semiHidden/>
    <w:rsid w:val="00773C3A"/>
  </w:style>
  <w:style w:type="paragraph" w:customStyle="1" w:styleId="Carattere1">
    <w:name w:val="Carattere"/>
    <w:rsid w:val="00773C3A"/>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jc w:val="both"/>
    </w:pPr>
    <w:rPr>
      <w:rFonts w:ascii="Arial" w:eastAsia="Times New Roman" w:hAnsi="Arial" w:cs="Arial"/>
      <w:snapToGrid w:val="0"/>
      <w:spacing w:val="-2"/>
      <w:sz w:val="18"/>
      <w:szCs w:val="18"/>
      <w:lang w:val="en-GB" w:eastAsia="en-GB"/>
    </w:rPr>
  </w:style>
  <w:style w:type="paragraph" w:customStyle="1" w:styleId="gmail-paragrafo">
    <w:name w:val="gmail-paragrafo"/>
    <w:basedOn w:val="Normale"/>
    <w:rsid w:val="00360487"/>
    <w:pPr>
      <w:spacing w:before="100" w:beforeAutospacing="1" w:after="100" w:afterAutospacing="1"/>
    </w:pPr>
    <w:rPr>
      <w:rFonts w:ascii="Times New Roman" w:eastAsia="Calibri" w:hAnsi="Times New Roman"/>
      <w:sz w:val="24"/>
    </w:rPr>
  </w:style>
  <w:style w:type="character" w:customStyle="1" w:styleId="Titolo6Carattere">
    <w:name w:val="Titolo 6 Carattere"/>
    <w:basedOn w:val="Carpredefinitoparagrafo"/>
    <w:link w:val="Titolo6"/>
    <w:semiHidden/>
    <w:rsid w:val="003F5931"/>
    <w:rPr>
      <w:rFonts w:ascii="Calibri" w:eastAsia="Times New Roman" w:hAnsi="Calibri" w:cs="Times New Roman"/>
      <w:b/>
      <w:bCs/>
      <w:lang w:eastAsia="it-IT"/>
    </w:rPr>
  </w:style>
  <w:style w:type="numbering" w:customStyle="1" w:styleId="Elenco45">
    <w:name w:val="Elenco 45"/>
    <w:semiHidden/>
    <w:rsid w:val="003F5931"/>
  </w:style>
  <w:style w:type="paragraph" w:customStyle="1" w:styleId="Carattere2">
    <w:name w:val="Carattere"/>
    <w:rsid w:val="003F5931"/>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jc w:val="both"/>
    </w:pPr>
    <w:rPr>
      <w:rFonts w:ascii="Arial" w:eastAsia="Times New Roman" w:hAnsi="Arial" w:cs="Arial"/>
      <w:snapToGrid w:val="0"/>
      <w:spacing w:val="-2"/>
      <w:sz w:val="18"/>
      <w:szCs w:val="18"/>
      <w:lang w:val="en-GB" w:eastAsia="en-GB"/>
    </w:rPr>
  </w:style>
  <w:style w:type="character" w:customStyle="1" w:styleId="ParagrafoelencoCarattere">
    <w:name w:val="Paragrafo elenco Carattere"/>
    <w:link w:val="Paragrafoelenco"/>
    <w:uiPriority w:val="34"/>
    <w:locked/>
    <w:rsid w:val="003F5931"/>
    <w:rPr>
      <w:rFonts w:ascii="Times New Roman" w:eastAsia="Times New Roman" w:hAnsi="Times New Roman" w:cs="Times New Roman"/>
      <w:sz w:val="24"/>
      <w:szCs w:val="24"/>
      <w:lang w:eastAsia="it-IT"/>
    </w:rPr>
  </w:style>
  <w:style w:type="paragraph" w:customStyle="1" w:styleId="paragrafook">
    <w:name w:val="paragrafook"/>
    <w:basedOn w:val="Normale"/>
    <w:qFormat/>
    <w:rsid w:val="003F5931"/>
    <w:pPr>
      <w:spacing w:line="320" w:lineRule="exact"/>
      <w:jc w:val="both"/>
    </w:pPr>
    <w:rPr>
      <w:rFonts w:ascii="PT Sans" w:hAnsi="PT Sans"/>
      <w:b/>
      <w:color w:val="006EB7"/>
      <w:szCs w:val="22"/>
    </w:rPr>
  </w:style>
  <w:style w:type="paragraph" w:customStyle="1" w:styleId="Corpodeltesto21">
    <w:name w:val="Corpo del testo 21"/>
    <w:basedOn w:val="Normale"/>
    <w:rsid w:val="003F5931"/>
    <w:pPr>
      <w:widowControl w:val="0"/>
      <w:jc w:val="both"/>
    </w:pPr>
    <w:rPr>
      <w:rFonts w:ascii="Arial" w:hAnsi="Arial"/>
      <w:szCs w:val="22"/>
      <w:lang w:eastAsia="en-US"/>
    </w:rPr>
  </w:style>
  <w:style w:type="numbering" w:customStyle="1" w:styleId="Elenco46">
    <w:name w:val="Elenco 46"/>
    <w:semiHidden/>
    <w:rsid w:val="005B750E"/>
  </w:style>
  <w:style w:type="paragraph" w:customStyle="1" w:styleId="Carattere3">
    <w:name w:val="Carattere"/>
    <w:rsid w:val="005B750E"/>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jc w:val="both"/>
    </w:pPr>
    <w:rPr>
      <w:rFonts w:ascii="Arial" w:eastAsia="Times New Roman" w:hAnsi="Arial" w:cs="Arial"/>
      <w:snapToGrid w:val="0"/>
      <w:spacing w:val="-2"/>
      <w:sz w:val="18"/>
      <w:szCs w:val="18"/>
      <w:lang w:val="en-GB" w:eastAsia="en-GB"/>
    </w:rPr>
  </w:style>
  <w:style w:type="numbering" w:customStyle="1" w:styleId="Elenco47">
    <w:name w:val="Elenco 47"/>
    <w:semiHidden/>
    <w:rsid w:val="008A37D1"/>
  </w:style>
  <w:style w:type="paragraph" w:customStyle="1" w:styleId="Carattere4">
    <w:name w:val="Carattere"/>
    <w:rsid w:val="008A37D1"/>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jc w:val="both"/>
    </w:pPr>
    <w:rPr>
      <w:rFonts w:ascii="Arial" w:eastAsia="Times New Roman" w:hAnsi="Arial" w:cs="Arial"/>
      <w:snapToGrid w:val="0"/>
      <w:spacing w:val="-2"/>
      <w:sz w:val="18"/>
      <w:szCs w:val="18"/>
      <w:lang w:val="en-GB" w:eastAsia="en-GB"/>
    </w:rPr>
  </w:style>
  <w:style w:type="numbering" w:customStyle="1" w:styleId="Elenco48">
    <w:name w:val="Elenco 48"/>
    <w:semiHidden/>
    <w:rsid w:val="00C45D0C"/>
    <w:pPr>
      <w:numPr>
        <w:numId w:val="1"/>
      </w:numPr>
    </w:pPr>
  </w:style>
  <w:style w:type="paragraph" w:customStyle="1" w:styleId="Carattere5">
    <w:name w:val="Carattere"/>
    <w:rsid w:val="00C45D0C"/>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jc w:val="both"/>
    </w:pPr>
    <w:rPr>
      <w:rFonts w:ascii="Arial" w:eastAsia="Times New Roman" w:hAnsi="Arial" w:cs="Arial"/>
      <w:snapToGrid w:val="0"/>
      <w:spacing w:val="-2"/>
      <w:sz w:val="18"/>
      <w:szCs w:val="18"/>
      <w:lang w:val="en-GB" w:eastAsia="en-GB"/>
    </w:rPr>
  </w:style>
  <w:style w:type="paragraph" w:customStyle="1" w:styleId="testotabelladentrocaselletesto">
    <w:name w:val="testo tabella dentro caselle testo"/>
    <w:basedOn w:val="Normale"/>
    <w:rsid w:val="00C45D0C"/>
    <w:pPr>
      <w:jc w:val="both"/>
    </w:pPr>
    <w:rPr>
      <w:color w:val="000000"/>
      <w:sz w:val="20"/>
      <w:szCs w:val="20"/>
    </w:rPr>
  </w:style>
  <w:style w:type="paragraph" w:customStyle="1" w:styleId="Rientro1riga">
    <w:name w:val="Rientro 1 riga"/>
    <w:basedOn w:val="Normale"/>
    <w:next w:val="Normale"/>
    <w:semiHidden/>
    <w:rsid w:val="00C45D0C"/>
    <w:pPr>
      <w:numPr>
        <w:numId w:val="9"/>
      </w:numPr>
      <w:tabs>
        <w:tab w:val="left" w:pos="284"/>
      </w:tabs>
      <w:spacing w:before="120"/>
      <w:jc w:val="both"/>
    </w:pPr>
    <w:rPr>
      <w:rFonts w:ascii="Arial" w:hAnsi="Arial"/>
      <w:sz w:val="24"/>
      <w:szCs w:val="20"/>
    </w:rPr>
  </w:style>
  <w:style w:type="paragraph" w:customStyle="1" w:styleId="Pa12">
    <w:name w:val="Pa12"/>
    <w:basedOn w:val="Default"/>
    <w:next w:val="Default"/>
    <w:uiPriority w:val="99"/>
    <w:rsid w:val="00C45D0C"/>
    <w:pPr>
      <w:spacing w:line="220" w:lineRule="atLeast"/>
    </w:pPr>
    <w:rPr>
      <w:rFonts w:ascii="Calibri" w:hAnsi="Calibri" w:cs="Times New Roman"/>
      <w:color w:val="auto"/>
    </w:rPr>
  </w:style>
  <w:style w:type="numbering" w:customStyle="1" w:styleId="Elenco49">
    <w:name w:val="Elenco 49"/>
    <w:semiHidden/>
    <w:rsid w:val="0050750E"/>
  </w:style>
  <w:style w:type="numbering" w:customStyle="1" w:styleId="List4">
    <w:name w:val="List 4"/>
    <w:semiHidden/>
    <w:rsid w:val="00AB42BA"/>
    <w:pPr>
      <w:numPr>
        <w:numId w:val="1"/>
      </w:numPr>
    </w:pPr>
  </w:style>
  <w:style w:type="paragraph" w:customStyle="1" w:styleId="Carattere6">
    <w:name w:val=" Carattere"/>
    <w:rsid w:val="00AB42BA"/>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jc w:val="both"/>
    </w:pPr>
    <w:rPr>
      <w:rFonts w:ascii="Arial" w:eastAsia="Times New Roman" w:hAnsi="Arial" w:cs="Arial"/>
      <w:snapToGrid w:val="0"/>
      <w:spacing w:val="-2"/>
      <w:sz w:val="18"/>
      <w:szCs w:val="18"/>
      <w:lang w:val="en-GB" w:eastAsia="en-GB"/>
    </w:rPr>
  </w:style>
  <w:style w:type="paragraph" w:styleId="Finemodulo-z">
    <w:name w:val="HTML Bottom of Form"/>
    <w:basedOn w:val="Normale"/>
    <w:next w:val="Normale"/>
    <w:link w:val="Finemodulo-zCarattere"/>
    <w:hidden/>
    <w:uiPriority w:val="99"/>
    <w:unhideWhenUsed/>
    <w:rsid w:val="00AB42BA"/>
    <w:pPr>
      <w:pBdr>
        <w:top w:val="single" w:sz="6" w:space="1" w:color="auto"/>
      </w:pBdr>
      <w:jc w:val="center"/>
    </w:pPr>
    <w:rPr>
      <w:rFonts w:ascii="Arial" w:hAnsi="Arial" w:cs="Arial"/>
      <w:vanish/>
      <w:sz w:val="16"/>
      <w:szCs w:val="16"/>
    </w:rPr>
  </w:style>
  <w:style w:type="character" w:customStyle="1" w:styleId="Finemodulo-zCarattere">
    <w:name w:val="Fine modulo -z Carattere"/>
    <w:basedOn w:val="Carpredefinitoparagrafo"/>
    <w:link w:val="Finemodulo-z"/>
    <w:uiPriority w:val="99"/>
    <w:rsid w:val="00AB42BA"/>
    <w:rPr>
      <w:rFonts w:ascii="Arial" w:eastAsia="Times New Roman" w:hAnsi="Arial" w:cs="Arial"/>
      <w:vanish/>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37B0D"/>
    <w:pPr>
      <w:spacing w:after="0" w:line="240" w:lineRule="auto"/>
    </w:pPr>
    <w:rPr>
      <w:rFonts w:ascii="Calibri" w:eastAsia="Times New Roman" w:hAnsi="Calibri" w:cs="Times New Roman"/>
      <w:szCs w:val="24"/>
      <w:lang w:eastAsia="it-IT"/>
    </w:rPr>
  </w:style>
  <w:style w:type="paragraph" w:styleId="Titolo1">
    <w:name w:val="heading 1"/>
    <w:basedOn w:val="Normale"/>
    <w:next w:val="Normale"/>
    <w:link w:val="Titolo1Carattere"/>
    <w:qFormat/>
    <w:rsid w:val="00C50D7F"/>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C50D7F"/>
    <w:pPr>
      <w:keepNext/>
      <w:jc w:val="center"/>
      <w:outlineLvl w:val="1"/>
    </w:pPr>
    <w:rPr>
      <w:rFonts w:ascii="Arial" w:hAnsi="Arial" w:cs="Arial"/>
      <w:b/>
      <w:i/>
      <w:smallCaps/>
      <w:color w:val="FFFFFF"/>
      <w:sz w:val="28"/>
      <w:szCs w:val="28"/>
    </w:rPr>
  </w:style>
  <w:style w:type="paragraph" w:styleId="Titolo3">
    <w:name w:val="heading 3"/>
    <w:basedOn w:val="Normale"/>
    <w:next w:val="Normale"/>
    <w:link w:val="Titolo3Carattere"/>
    <w:qFormat/>
    <w:rsid w:val="00C50D7F"/>
    <w:pPr>
      <w:keepNext/>
      <w:spacing w:before="240" w:after="60"/>
      <w:outlineLvl w:val="2"/>
    </w:pPr>
    <w:rPr>
      <w:rFonts w:ascii="Arial" w:hAnsi="Arial" w:cs="Arial"/>
      <w:b/>
      <w:bCs/>
      <w:sz w:val="26"/>
      <w:szCs w:val="26"/>
    </w:rPr>
  </w:style>
  <w:style w:type="paragraph" w:styleId="Titolo6">
    <w:name w:val="heading 6"/>
    <w:basedOn w:val="Normale"/>
    <w:next w:val="Normale"/>
    <w:link w:val="Titolo6Carattere"/>
    <w:semiHidden/>
    <w:unhideWhenUsed/>
    <w:qFormat/>
    <w:rsid w:val="003F5931"/>
    <w:pPr>
      <w:spacing w:before="240" w:after="60"/>
      <w:outlineLvl w:val="5"/>
    </w:pPr>
    <w:rPr>
      <w:b/>
      <w:bCs/>
      <w:szCs w:val="22"/>
    </w:rPr>
  </w:style>
  <w:style w:type="paragraph" w:styleId="Titolo8">
    <w:name w:val="heading 8"/>
    <w:basedOn w:val="Normale"/>
    <w:next w:val="Normale"/>
    <w:link w:val="Titolo8Carattere"/>
    <w:qFormat/>
    <w:rsid w:val="00C50D7F"/>
    <w:pPr>
      <w:keepNext/>
      <w:jc w:val="both"/>
      <w:outlineLvl w:val="7"/>
    </w:pPr>
    <w:rPr>
      <w:rFonts w:ascii="Times New Roman" w:hAnsi="Times New Roman"/>
      <w:sz w:val="24"/>
      <w:szCs w:val="20"/>
    </w:rPr>
  </w:style>
  <w:style w:type="paragraph" w:styleId="Titolo9">
    <w:name w:val="heading 9"/>
    <w:basedOn w:val="Normale"/>
    <w:next w:val="Normale"/>
    <w:link w:val="Titolo9Carattere"/>
    <w:qFormat/>
    <w:rsid w:val="00C50D7F"/>
    <w:pPr>
      <w:keepNext/>
      <w:spacing w:line="360" w:lineRule="auto"/>
      <w:outlineLvl w:val="8"/>
    </w:pPr>
    <w:rPr>
      <w:rFonts w:ascii="Garamond" w:hAnsi="Garamond"/>
      <w:b/>
      <w:bCs/>
      <w:sz w:val="24"/>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semiHidden/>
    <w:unhideWhenUsed/>
  </w:style>
  <w:style w:type="paragraph" w:styleId="Intestazione">
    <w:name w:val="header"/>
    <w:basedOn w:val="Normale"/>
    <w:link w:val="IntestazioneCarattere"/>
    <w:unhideWhenUsed/>
    <w:rsid w:val="00D02796"/>
    <w:pPr>
      <w:tabs>
        <w:tab w:val="center" w:pos="4819"/>
        <w:tab w:val="right" w:pos="9638"/>
      </w:tabs>
    </w:pPr>
  </w:style>
  <w:style w:type="character" w:customStyle="1" w:styleId="IntestazioneCarattere">
    <w:name w:val="Intestazione Carattere"/>
    <w:basedOn w:val="Carpredefinitoparagrafo"/>
    <w:link w:val="Intestazione"/>
    <w:rsid w:val="00D02796"/>
  </w:style>
  <w:style w:type="paragraph" w:styleId="Pidipagina">
    <w:name w:val="footer"/>
    <w:basedOn w:val="Normale"/>
    <w:link w:val="PidipaginaCarattere"/>
    <w:unhideWhenUsed/>
    <w:rsid w:val="00D02796"/>
    <w:pPr>
      <w:tabs>
        <w:tab w:val="center" w:pos="4819"/>
        <w:tab w:val="right" w:pos="9638"/>
      </w:tabs>
    </w:pPr>
  </w:style>
  <w:style w:type="character" w:customStyle="1" w:styleId="PidipaginaCarattere">
    <w:name w:val="Piè di pagina Carattere"/>
    <w:basedOn w:val="Carpredefinitoparagrafo"/>
    <w:link w:val="Pidipagina"/>
    <w:rsid w:val="00D02796"/>
  </w:style>
  <w:style w:type="character" w:styleId="Collegamentoipertestuale">
    <w:name w:val="Hyperlink"/>
    <w:basedOn w:val="Carpredefinitoparagrafo"/>
    <w:unhideWhenUsed/>
    <w:rsid w:val="00721EAA"/>
    <w:rPr>
      <w:color w:val="0563C1" w:themeColor="hyperlink"/>
      <w:u w:val="single"/>
    </w:rPr>
  </w:style>
  <w:style w:type="paragraph" w:styleId="PreformattatoHTML">
    <w:name w:val="HTML Preformatted"/>
    <w:basedOn w:val="Normale"/>
    <w:link w:val="PreformattatoHTMLCarattere"/>
    <w:uiPriority w:val="99"/>
    <w:unhideWhenUsed/>
    <w:rsid w:val="0083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uto"/>
    </w:pPr>
    <w:rPr>
      <w:rFonts w:ascii="Courier New" w:hAnsi="Courier New"/>
      <w:sz w:val="24"/>
      <w:lang w:val="x-none" w:eastAsia="x-none"/>
    </w:rPr>
  </w:style>
  <w:style w:type="character" w:customStyle="1" w:styleId="PreformattatoHTMLCarattere">
    <w:name w:val="Preformattato HTML Carattere"/>
    <w:basedOn w:val="Carpredefinitoparagrafo"/>
    <w:link w:val="PreformattatoHTML"/>
    <w:uiPriority w:val="99"/>
    <w:rsid w:val="00837B0D"/>
    <w:rPr>
      <w:rFonts w:ascii="Courier New" w:eastAsia="Times New Roman" w:hAnsi="Courier New" w:cs="Times New Roman"/>
      <w:sz w:val="24"/>
      <w:szCs w:val="24"/>
      <w:lang w:val="x-none" w:eastAsia="x-none"/>
    </w:rPr>
  </w:style>
  <w:style w:type="paragraph" w:styleId="NormaleWeb">
    <w:name w:val="Normal (Web)"/>
    <w:basedOn w:val="Normale"/>
    <w:uiPriority w:val="99"/>
    <w:unhideWhenUsed/>
    <w:rsid w:val="00837B0D"/>
    <w:pPr>
      <w:spacing w:before="100" w:beforeAutospacing="1" w:after="100" w:afterAutospacing="1"/>
    </w:pPr>
    <w:rPr>
      <w:rFonts w:ascii="Arial Unicode MS" w:hAnsi="Arial Unicode MS"/>
      <w:sz w:val="24"/>
    </w:rPr>
  </w:style>
  <w:style w:type="paragraph" w:styleId="Titolo">
    <w:name w:val="Title"/>
    <w:basedOn w:val="Normale"/>
    <w:link w:val="TitoloCarattere"/>
    <w:uiPriority w:val="99"/>
    <w:qFormat/>
    <w:rsid w:val="00837B0D"/>
    <w:pPr>
      <w:jc w:val="center"/>
    </w:pPr>
    <w:rPr>
      <w:rFonts w:ascii="Times New Roman" w:hAnsi="Times New Roman"/>
      <w:b/>
      <w:bCs/>
      <w:sz w:val="24"/>
    </w:rPr>
  </w:style>
  <w:style w:type="character" w:customStyle="1" w:styleId="TitoloCarattere">
    <w:name w:val="Titolo Carattere"/>
    <w:basedOn w:val="Carpredefinitoparagrafo"/>
    <w:link w:val="Titolo"/>
    <w:uiPriority w:val="99"/>
    <w:rsid w:val="00837B0D"/>
    <w:rPr>
      <w:rFonts w:ascii="Times New Roman" w:eastAsia="Times New Roman" w:hAnsi="Times New Roman" w:cs="Times New Roman"/>
      <w:b/>
      <w:bCs/>
      <w:sz w:val="24"/>
      <w:szCs w:val="24"/>
      <w:lang w:eastAsia="it-IT"/>
    </w:rPr>
  </w:style>
  <w:style w:type="paragraph" w:styleId="Corpodeltesto2">
    <w:name w:val="Body Text 2"/>
    <w:basedOn w:val="Normale"/>
    <w:link w:val="Corpodeltesto2Carattere"/>
    <w:unhideWhenUsed/>
    <w:rsid w:val="00837B0D"/>
    <w:pPr>
      <w:snapToGrid w:val="0"/>
      <w:spacing w:line="360" w:lineRule="auto"/>
      <w:jc w:val="both"/>
    </w:pPr>
    <w:rPr>
      <w:rFonts w:ascii="Garamond" w:hAnsi="Garamond"/>
      <w:sz w:val="24"/>
      <w:szCs w:val="22"/>
    </w:rPr>
  </w:style>
  <w:style w:type="character" w:customStyle="1" w:styleId="Corpodeltesto2Carattere">
    <w:name w:val="Corpo del testo 2 Carattere"/>
    <w:basedOn w:val="Carpredefinitoparagrafo"/>
    <w:link w:val="Corpodeltesto2"/>
    <w:rsid w:val="00837B0D"/>
    <w:rPr>
      <w:rFonts w:ascii="Garamond" w:eastAsia="Times New Roman" w:hAnsi="Garamond" w:cs="Times New Roman"/>
      <w:sz w:val="24"/>
      <w:lang w:eastAsia="it-IT"/>
    </w:rPr>
  </w:style>
  <w:style w:type="paragraph" w:styleId="Testonormale">
    <w:name w:val="Plain Text"/>
    <w:basedOn w:val="Normale"/>
    <w:link w:val="TestonormaleCarattere"/>
    <w:unhideWhenUsed/>
    <w:rsid w:val="00837B0D"/>
    <w:rPr>
      <w:rFonts w:ascii="Consolas" w:hAnsi="Consolas" w:cs="Consolas"/>
      <w:sz w:val="21"/>
      <w:szCs w:val="21"/>
    </w:rPr>
  </w:style>
  <w:style w:type="character" w:customStyle="1" w:styleId="TestonormaleCarattere">
    <w:name w:val="Testo normale Carattere"/>
    <w:basedOn w:val="Carpredefinitoparagrafo"/>
    <w:link w:val="Testonormale"/>
    <w:rsid w:val="00837B0D"/>
    <w:rPr>
      <w:rFonts w:ascii="Consolas" w:eastAsia="Times New Roman" w:hAnsi="Consolas" w:cs="Consolas"/>
      <w:sz w:val="21"/>
      <w:szCs w:val="21"/>
      <w:lang w:eastAsia="it-IT"/>
    </w:rPr>
  </w:style>
  <w:style w:type="paragraph" w:styleId="Paragrafoelenco">
    <w:name w:val="List Paragraph"/>
    <w:basedOn w:val="Normale"/>
    <w:link w:val="ParagrafoelencoCarattere"/>
    <w:uiPriority w:val="99"/>
    <w:qFormat/>
    <w:rsid w:val="00837B0D"/>
    <w:pPr>
      <w:ind w:left="720"/>
      <w:contextualSpacing/>
    </w:pPr>
    <w:rPr>
      <w:rFonts w:ascii="Times New Roman" w:hAnsi="Times New Roman"/>
      <w:sz w:val="24"/>
    </w:rPr>
  </w:style>
  <w:style w:type="paragraph" w:customStyle="1" w:styleId="macrotemabox">
    <w:name w:val="macrotema box"/>
    <w:rsid w:val="00837B0D"/>
    <w:pPr>
      <w:spacing w:after="0" w:line="280" w:lineRule="exact"/>
      <w:jc w:val="center"/>
    </w:pPr>
    <w:rPr>
      <w:rFonts w:ascii="Calibri" w:eastAsia="Times New Roman" w:hAnsi="Calibri" w:cs="Times New Roman"/>
      <w:b/>
      <w:bCs/>
      <w:iCs/>
      <w:smallCaps/>
      <w:color w:val="FFFFFF"/>
      <w:sz w:val="32"/>
      <w:szCs w:val="20"/>
      <w:lang w:eastAsia="it-IT"/>
    </w:rPr>
  </w:style>
  <w:style w:type="paragraph" w:customStyle="1" w:styleId="testoflash">
    <w:name w:val="testo flash"/>
    <w:rsid w:val="00837B0D"/>
    <w:pPr>
      <w:spacing w:after="0" w:line="280" w:lineRule="exact"/>
      <w:jc w:val="both"/>
    </w:pPr>
    <w:rPr>
      <w:rFonts w:ascii="Calibri" w:eastAsia="Times New Roman" w:hAnsi="Calibri" w:cs="Times New Roman"/>
      <w:szCs w:val="20"/>
      <w:lang w:eastAsia="it-IT"/>
    </w:rPr>
  </w:style>
  <w:style w:type="paragraph" w:customStyle="1" w:styleId="fonteflash">
    <w:name w:val="fonte flash"/>
    <w:basedOn w:val="Normale"/>
    <w:rsid w:val="00837B0D"/>
    <w:pPr>
      <w:spacing w:before="60" w:after="40"/>
      <w:jc w:val="right"/>
    </w:pPr>
    <w:rPr>
      <w:b/>
      <w:bCs/>
      <w:sz w:val="20"/>
      <w:szCs w:val="20"/>
    </w:rPr>
  </w:style>
  <w:style w:type="paragraph" w:customStyle="1" w:styleId="titoloflash">
    <w:name w:val="titolo flash"/>
    <w:rsid w:val="00837B0D"/>
    <w:pPr>
      <w:spacing w:after="0" w:line="240" w:lineRule="auto"/>
    </w:pPr>
    <w:rPr>
      <w:rFonts w:ascii="Calibri" w:eastAsia="Times New Roman" w:hAnsi="Calibri" w:cs="Times New Roman"/>
      <w:b/>
      <w:bCs/>
      <w:szCs w:val="20"/>
      <w:lang w:eastAsia="it-IT"/>
    </w:rPr>
  </w:style>
  <w:style w:type="paragraph" w:customStyle="1" w:styleId="titoloinformativa">
    <w:name w:val="titolo informativa"/>
    <w:rsid w:val="00837B0D"/>
    <w:pPr>
      <w:spacing w:after="0" w:line="240" w:lineRule="auto"/>
      <w:jc w:val="center"/>
    </w:pPr>
    <w:rPr>
      <w:rFonts w:ascii="Calibri" w:eastAsia="Times New Roman" w:hAnsi="Calibri" w:cs="Times New Roman"/>
      <w:b/>
      <w:bCs/>
      <w:sz w:val="24"/>
      <w:szCs w:val="20"/>
      <w:lang w:eastAsia="it-IT"/>
    </w:rPr>
  </w:style>
  <w:style w:type="character" w:customStyle="1" w:styleId="corpotestoinformativaCarattere">
    <w:name w:val="corpo testo informativa Carattere"/>
    <w:link w:val="corpotestoinformativa"/>
    <w:locked/>
    <w:rsid w:val="00837B0D"/>
    <w:rPr>
      <w:rFonts w:ascii="Calibri" w:hAnsi="Calibri"/>
    </w:rPr>
  </w:style>
  <w:style w:type="paragraph" w:customStyle="1" w:styleId="corpotestoinformativa">
    <w:name w:val="corpo testo informativa"/>
    <w:link w:val="corpotestoinformativaCarattere"/>
    <w:rsid w:val="00837B0D"/>
    <w:pPr>
      <w:spacing w:after="0" w:line="280" w:lineRule="exact"/>
      <w:jc w:val="both"/>
    </w:pPr>
    <w:rPr>
      <w:rFonts w:ascii="Calibri" w:hAnsi="Calibri"/>
    </w:rPr>
  </w:style>
  <w:style w:type="paragraph" w:customStyle="1" w:styleId="Normale1">
    <w:name w:val="Normale1"/>
    <w:semiHidden/>
    <w:rsid w:val="00837B0D"/>
    <w:pPr>
      <w:spacing w:after="0" w:line="240" w:lineRule="auto"/>
    </w:pPr>
    <w:rPr>
      <w:rFonts w:ascii="Times New Roman" w:eastAsia="ヒラギノ角ゴ Pro W3" w:hAnsi="Times New Roman" w:cs="Times New Roman"/>
      <w:color w:val="000000"/>
      <w:sz w:val="24"/>
      <w:szCs w:val="20"/>
      <w:lang w:eastAsia="it-IT"/>
    </w:rPr>
  </w:style>
  <w:style w:type="paragraph" w:customStyle="1" w:styleId="paragrafo">
    <w:name w:val="paragrafo"/>
    <w:basedOn w:val="corpotestoinformativa"/>
    <w:rsid w:val="00837B0D"/>
    <w:rPr>
      <w:b/>
      <w:color w:val="D2232A"/>
    </w:rPr>
  </w:style>
  <w:style w:type="paragraph" w:customStyle="1" w:styleId="sottoparagrafo">
    <w:name w:val="sottoparagrafo"/>
    <w:basedOn w:val="NormaleWeb"/>
    <w:rsid w:val="00837B0D"/>
    <w:pPr>
      <w:numPr>
        <w:numId w:val="1"/>
      </w:numPr>
      <w:shd w:val="clear" w:color="auto" w:fill="FFFFFF"/>
      <w:spacing w:before="0" w:beforeAutospacing="0" w:after="0" w:afterAutospacing="0" w:line="280" w:lineRule="exact"/>
      <w:jc w:val="both"/>
    </w:pPr>
    <w:rPr>
      <w:rFonts w:ascii="Calibri" w:hAnsi="Calibri" w:cs="Arial"/>
      <w:i/>
      <w:sz w:val="22"/>
      <w:szCs w:val="22"/>
    </w:rPr>
  </w:style>
  <w:style w:type="paragraph" w:customStyle="1" w:styleId="indice">
    <w:name w:val="indice"/>
    <w:basedOn w:val="Normale"/>
    <w:rsid w:val="00837B0D"/>
    <w:pPr>
      <w:ind w:right="252"/>
      <w:jc w:val="both"/>
    </w:pPr>
    <w:rPr>
      <w:rFonts w:cs="Arial"/>
      <w:szCs w:val="22"/>
    </w:rPr>
  </w:style>
  <w:style w:type="character" w:customStyle="1" w:styleId="corpodeltestoCarattere">
    <w:name w:val="corpo del testo Carattere"/>
    <w:link w:val="corpodeltesto"/>
    <w:locked/>
    <w:rsid w:val="00837B0D"/>
    <w:rPr>
      <w:rFonts w:ascii="Arial" w:hAnsi="Arial" w:cs="Arial"/>
      <w:szCs w:val="23"/>
    </w:rPr>
  </w:style>
  <w:style w:type="paragraph" w:customStyle="1" w:styleId="corpodeltesto">
    <w:name w:val="corpo del testo"/>
    <w:basedOn w:val="Testonormale"/>
    <w:link w:val="corpodeltestoCarattere"/>
    <w:rsid w:val="00837B0D"/>
    <w:pPr>
      <w:spacing w:line="280" w:lineRule="exact"/>
      <w:ind w:left="1259"/>
      <w:jc w:val="both"/>
    </w:pPr>
    <w:rPr>
      <w:rFonts w:ascii="Arial" w:eastAsiaTheme="minorHAnsi" w:hAnsi="Arial" w:cs="Arial"/>
      <w:sz w:val="22"/>
      <w:szCs w:val="23"/>
      <w:lang w:eastAsia="en-US"/>
    </w:rPr>
  </w:style>
  <w:style w:type="paragraph" w:customStyle="1" w:styleId="Paragrafoelenco1">
    <w:name w:val="Paragrafo elenco1"/>
    <w:basedOn w:val="Normale"/>
    <w:rsid w:val="00837B0D"/>
    <w:pPr>
      <w:spacing w:after="200" w:line="276" w:lineRule="auto"/>
      <w:ind w:left="720"/>
      <w:contextualSpacing/>
    </w:pPr>
    <w:rPr>
      <w:szCs w:val="22"/>
      <w:lang w:eastAsia="en-US"/>
    </w:rPr>
  </w:style>
  <w:style w:type="paragraph" w:customStyle="1" w:styleId="font5">
    <w:name w:val="font5"/>
    <w:basedOn w:val="Normale"/>
    <w:rsid w:val="00837B0D"/>
    <w:pPr>
      <w:spacing w:before="100" w:beforeAutospacing="1" w:after="100" w:afterAutospacing="1"/>
    </w:pPr>
    <w:rPr>
      <w:rFonts w:ascii="Arial" w:eastAsia="Calibri" w:hAnsi="Arial" w:cs="Arial"/>
      <w:sz w:val="16"/>
      <w:szCs w:val="16"/>
    </w:rPr>
  </w:style>
  <w:style w:type="paragraph" w:customStyle="1" w:styleId="6P">
    <w:name w:val="6P"/>
    <w:basedOn w:val="Normale"/>
    <w:rsid w:val="00837B0D"/>
    <w:pPr>
      <w:widowControl w:val="0"/>
      <w:spacing w:line="-120" w:lineRule="auto"/>
      <w:jc w:val="both"/>
    </w:pPr>
    <w:rPr>
      <w:rFonts w:ascii="Arial" w:hAnsi="Arial"/>
      <w:szCs w:val="20"/>
    </w:rPr>
  </w:style>
  <w:style w:type="paragraph" w:customStyle="1" w:styleId="Testo">
    <w:name w:val="Testo"/>
    <w:basedOn w:val="Normale"/>
    <w:rsid w:val="00837B0D"/>
    <w:pPr>
      <w:spacing w:line="360" w:lineRule="auto"/>
      <w:jc w:val="both"/>
    </w:pPr>
    <w:rPr>
      <w:rFonts w:ascii="Arial" w:hAnsi="Arial"/>
      <w:sz w:val="24"/>
      <w:szCs w:val="18"/>
    </w:rPr>
  </w:style>
  <w:style w:type="character" w:customStyle="1" w:styleId="titolirubricheindice">
    <w:name w:val="titoli rubriche indice"/>
    <w:rsid w:val="00837B0D"/>
    <w:rPr>
      <w:b/>
      <w:bCs/>
      <w:color w:val="D2232A"/>
      <w:sz w:val="28"/>
    </w:rPr>
  </w:style>
  <w:style w:type="character" w:customStyle="1" w:styleId="apple-converted-space">
    <w:name w:val="apple-converted-space"/>
    <w:rsid w:val="00837B0D"/>
  </w:style>
  <w:style w:type="character" w:styleId="Collegamentovisitato">
    <w:name w:val="FollowedHyperlink"/>
    <w:basedOn w:val="Carpredefinitoparagrafo"/>
    <w:unhideWhenUsed/>
    <w:rsid w:val="00837B0D"/>
    <w:rPr>
      <w:color w:val="800080"/>
      <w:u w:val="single"/>
    </w:rPr>
  </w:style>
  <w:style w:type="character" w:styleId="Enfasicorsivo">
    <w:name w:val="Emphasis"/>
    <w:basedOn w:val="Carpredefinitoparagrafo"/>
    <w:uiPriority w:val="20"/>
    <w:qFormat/>
    <w:rsid w:val="00837B0D"/>
    <w:rPr>
      <w:i/>
      <w:iCs/>
    </w:rPr>
  </w:style>
  <w:style w:type="character" w:styleId="Enfasigrassetto">
    <w:name w:val="Strong"/>
    <w:basedOn w:val="Carpredefinitoparagrafo"/>
    <w:uiPriority w:val="22"/>
    <w:qFormat/>
    <w:rsid w:val="00837B0D"/>
    <w:rPr>
      <w:b/>
      <w:bCs/>
    </w:rPr>
  </w:style>
  <w:style w:type="character" w:customStyle="1" w:styleId="Titolo1Carattere">
    <w:name w:val="Titolo 1 Carattere"/>
    <w:basedOn w:val="Carpredefinitoparagrafo"/>
    <w:link w:val="Titolo1"/>
    <w:rsid w:val="00C50D7F"/>
    <w:rPr>
      <w:rFonts w:ascii="Arial" w:eastAsia="Times New Roman" w:hAnsi="Arial" w:cs="Arial"/>
      <w:b/>
      <w:bCs/>
      <w:kern w:val="32"/>
      <w:sz w:val="32"/>
      <w:szCs w:val="32"/>
      <w:lang w:eastAsia="it-IT"/>
    </w:rPr>
  </w:style>
  <w:style w:type="character" w:customStyle="1" w:styleId="Titolo2Carattere">
    <w:name w:val="Titolo 2 Carattere"/>
    <w:basedOn w:val="Carpredefinitoparagrafo"/>
    <w:link w:val="Titolo2"/>
    <w:rsid w:val="00C50D7F"/>
    <w:rPr>
      <w:rFonts w:ascii="Arial" w:eastAsia="Times New Roman" w:hAnsi="Arial" w:cs="Arial"/>
      <w:b/>
      <w:i/>
      <w:smallCaps/>
      <w:color w:val="FFFFFF"/>
      <w:sz w:val="28"/>
      <w:szCs w:val="28"/>
      <w:lang w:eastAsia="it-IT"/>
    </w:rPr>
  </w:style>
  <w:style w:type="character" w:customStyle="1" w:styleId="Titolo3Carattere">
    <w:name w:val="Titolo 3 Carattere"/>
    <w:basedOn w:val="Carpredefinitoparagrafo"/>
    <w:link w:val="Titolo3"/>
    <w:rsid w:val="00C50D7F"/>
    <w:rPr>
      <w:rFonts w:ascii="Arial" w:eastAsia="Times New Roman" w:hAnsi="Arial" w:cs="Arial"/>
      <w:b/>
      <w:bCs/>
      <w:sz w:val="26"/>
      <w:szCs w:val="26"/>
      <w:lang w:eastAsia="it-IT"/>
    </w:rPr>
  </w:style>
  <w:style w:type="character" w:customStyle="1" w:styleId="Titolo8Carattere">
    <w:name w:val="Titolo 8 Carattere"/>
    <w:basedOn w:val="Carpredefinitoparagrafo"/>
    <w:link w:val="Titolo8"/>
    <w:rsid w:val="00C50D7F"/>
    <w:rPr>
      <w:rFonts w:ascii="Times New Roman" w:eastAsia="Times New Roman" w:hAnsi="Times New Roman" w:cs="Times New Roman"/>
      <w:sz w:val="24"/>
      <w:szCs w:val="20"/>
      <w:lang w:eastAsia="it-IT"/>
    </w:rPr>
  </w:style>
  <w:style w:type="character" w:customStyle="1" w:styleId="Titolo9Carattere">
    <w:name w:val="Titolo 9 Carattere"/>
    <w:basedOn w:val="Carpredefinitoparagrafo"/>
    <w:link w:val="Titolo9"/>
    <w:rsid w:val="00C50D7F"/>
    <w:rPr>
      <w:rFonts w:ascii="Garamond" w:eastAsia="Times New Roman" w:hAnsi="Garamond" w:cs="Times New Roman"/>
      <w:b/>
      <w:bCs/>
      <w:sz w:val="24"/>
      <w:lang w:eastAsia="it-IT"/>
    </w:rPr>
  </w:style>
  <w:style w:type="character" w:customStyle="1" w:styleId="firma">
    <w:name w:val="firma"/>
    <w:rsid w:val="00C50D7F"/>
    <w:rPr>
      <w:b/>
      <w:bCs/>
      <w:i/>
      <w:iCs/>
    </w:rPr>
  </w:style>
  <w:style w:type="numbering" w:customStyle="1" w:styleId="Elenco41">
    <w:name w:val="Elenco 41"/>
    <w:semiHidden/>
    <w:rsid w:val="00C50D7F"/>
    <w:pPr>
      <w:numPr>
        <w:numId w:val="2"/>
      </w:numPr>
    </w:pPr>
  </w:style>
  <w:style w:type="paragraph" w:styleId="Testonotaapidipagina">
    <w:name w:val="footnote text"/>
    <w:aliases w:val="stile 1,Nota_2,Testo nota a piè di pagina Carattere1,Testo nota a piè di pagina Carattere Carattere,Testo nota a piè di pagina Carattere1 Carattere Carattere,Testo nota a piè di pagina Carattere2 Carattere Carattere"/>
    <w:basedOn w:val="Normale"/>
    <w:link w:val="TestonotaapidipaginaCarattere"/>
    <w:semiHidden/>
    <w:rsid w:val="00C50D7F"/>
    <w:rPr>
      <w:rFonts w:ascii="Times New Roman" w:hAnsi="Times New Roman"/>
      <w:sz w:val="20"/>
      <w:szCs w:val="20"/>
    </w:rPr>
  </w:style>
  <w:style w:type="character" w:customStyle="1" w:styleId="TestonotaapidipaginaCarattere">
    <w:name w:val="Testo nota a piè di pagina Carattere"/>
    <w:aliases w:val="stile 1 Carattere,Nota_2 Carattere,Testo nota a piè di pagina Carattere1 Carattere,Testo nota a piè di pagina Carattere Carattere Carattere,Testo nota a piè di pagina Carattere1 Carattere Carattere Carattere"/>
    <w:basedOn w:val="Carpredefinitoparagrafo"/>
    <w:link w:val="Testonotaapidipagina"/>
    <w:semiHidden/>
    <w:rsid w:val="00C50D7F"/>
    <w:rPr>
      <w:rFonts w:ascii="Times New Roman" w:eastAsia="Times New Roman" w:hAnsi="Times New Roman" w:cs="Times New Roman"/>
      <w:sz w:val="20"/>
      <w:szCs w:val="20"/>
      <w:lang w:eastAsia="it-IT"/>
    </w:rPr>
  </w:style>
  <w:style w:type="character" w:styleId="Rimandonotaapidipagina">
    <w:name w:val="footnote reference"/>
    <w:semiHidden/>
    <w:rsid w:val="00C50D7F"/>
    <w:rPr>
      <w:vertAlign w:val="superscript"/>
    </w:rPr>
  </w:style>
  <w:style w:type="paragraph" w:customStyle="1" w:styleId="Titoloscadenza">
    <w:name w:val="Titolo scadenza"/>
    <w:rsid w:val="00C50D7F"/>
    <w:pPr>
      <w:spacing w:after="0" w:line="280" w:lineRule="exact"/>
      <w:jc w:val="both"/>
    </w:pPr>
    <w:rPr>
      <w:rFonts w:ascii="Calibri" w:eastAsia="Times New Roman" w:hAnsi="Calibri" w:cs="Times New Roman"/>
      <w:b/>
      <w:bCs/>
      <w:color w:val="000000"/>
      <w:szCs w:val="20"/>
      <w:lang w:eastAsia="it-IT"/>
    </w:rPr>
  </w:style>
  <w:style w:type="paragraph" w:customStyle="1" w:styleId="nota">
    <w:name w:val="nota"/>
    <w:rsid w:val="00C50D7F"/>
    <w:pPr>
      <w:spacing w:after="0" w:line="240" w:lineRule="auto"/>
      <w:jc w:val="both"/>
    </w:pPr>
    <w:rPr>
      <w:rFonts w:ascii="Calibri" w:eastAsia="Times New Roman" w:hAnsi="Calibri" w:cs="Arial"/>
      <w:bCs/>
      <w:i/>
      <w:sz w:val="16"/>
      <w:szCs w:val="16"/>
      <w:lang w:eastAsia="it-IT"/>
    </w:rPr>
  </w:style>
  <w:style w:type="table" w:styleId="Grigliatabella">
    <w:name w:val="Table Grid"/>
    <w:basedOn w:val="Tabellanormale"/>
    <w:uiPriority w:val="39"/>
    <w:rsid w:val="00C50D7F"/>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pagina">
    <w:name w:val="page number"/>
    <w:basedOn w:val="Carpredefinitoparagrafo"/>
    <w:rsid w:val="00C50D7F"/>
  </w:style>
  <w:style w:type="paragraph" w:customStyle="1" w:styleId="rubrica">
    <w:name w:val="rubrica"/>
    <w:rsid w:val="00C50D7F"/>
    <w:pPr>
      <w:spacing w:after="0" w:line="240" w:lineRule="auto"/>
    </w:pPr>
    <w:rPr>
      <w:rFonts w:ascii="Calibri" w:eastAsia="Times New Roman" w:hAnsi="Calibri" w:cs="Arial"/>
      <w:b/>
      <w:sz w:val="32"/>
      <w:szCs w:val="32"/>
      <w:lang w:eastAsia="it-IT"/>
    </w:rPr>
  </w:style>
  <w:style w:type="paragraph" w:customStyle="1" w:styleId="testopuntoelenco">
    <w:name w:val="testo punto elenco"/>
    <w:rsid w:val="00C50D7F"/>
    <w:pPr>
      <w:numPr>
        <w:numId w:val="3"/>
      </w:numPr>
      <w:spacing w:after="0" w:line="280" w:lineRule="exact"/>
      <w:jc w:val="both"/>
    </w:pPr>
    <w:rPr>
      <w:rFonts w:ascii="Calibri" w:eastAsia="Times New Roman" w:hAnsi="Calibri" w:cs="Arial"/>
      <w:lang w:eastAsia="it-IT"/>
    </w:rPr>
  </w:style>
  <w:style w:type="paragraph" w:customStyle="1" w:styleId="puntielenconumeri">
    <w:name w:val="punti elenco numeri"/>
    <w:rsid w:val="00C50D7F"/>
    <w:pPr>
      <w:numPr>
        <w:numId w:val="4"/>
      </w:numPr>
      <w:shd w:val="clear" w:color="auto" w:fill="FFFFFF"/>
      <w:spacing w:after="0" w:line="280" w:lineRule="exact"/>
      <w:jc w:val="both"/>
    </w:pPr>
    <w:rPr>
      <w:rFonts w:ascii="Calibri" w:eastAsia="Times New Roman" w:hAnsi="Calibri" w:cs="Arial"/>
      <w:lang w:eastAsia="it-IT"/>
    </w:rPr>
  </w:style>
  <w:style w:type="paragraph" w:customStyle="1" w:styleId="sottopuntielenco">
    <w:name w:val="sottopunti elenco"/>
    <w:rsid w:val="00C50D7F"/>
    <w:pPr>
      <w:numPr>
        <w:numId w:val="5"/>
      </w:numPr>
      <w:shd w:val="clear" w:color="auto" w:fill="FFFFFF"/>
      <w:spacing w:after="0" w:line="280" w:lineRule="exact"/>
      <w:jc w:val="both"/>
    </w:pPr>
    <w:rPr>
      <w:rFonts w:ascii="Calibri" w:eastAsia="Times New Roman" w:hAnsi="Calibri" w:cs="Arial"/>
      <w:lang w:eastAsia="it-IT"/>
    </w:rPr>
  </w:style>
  <w:style w:type="paragraph" w:customStyle="1" w:styleId="sottopuntielenco-">
    <w:name w:val="sottopunti elenco -"/>
    <w:basedOn w:val="NormaleWeb"/>
    <w:rsid w:val="00C50D7F"/>
    <w:pPr>
      <w:numPr>
        <w:ilvl w:val="1"/>
        <w:numId w:val="6"/>
      </w:numPr>
      <w:shd w:val="clear" w:color="auto" w:fill="FFFFFF"/>
      <w:spacing w:before="0" w:beforeAutospacing="0" w:after="0" w:afterAutospacing="0" w:line="280" w:lineRule="exact"/>
      <w:jc w:val="both"/>
    </w:pPr>
    <w:rPr>
      <w:rFonts w:ascii="Calibri" w:hAnsi="Calibri" w:cs="Arial"/>
      <w:sz w:val="22"/>
      <w:szCs w:val="22"/>
    </w:rPr>
  </w:style>
  <w:style w:type="paragraph" w:customStyle="1" w:styleId="titolotabella">
    <w:name w:val="titolo tabella"/>
    <w:rsid w:val="00C50D7F"/>
    <w:pPr>
      <w:spacing w:after="0" w:line="280" w:lineRule="exact"/>
      <w:jc w:val="center"/>
    </w:pPr>
    <w:rPr>
      <w:rFonts w:ascii="Calibri" w:eastAsia="Times New Roman" w:hAnsi="Calibri" w:cs="Arial"/>
      <w:b/>
      <w:bCs/>
      <w:color w:val="FFFFFF"/>
      <w:lang w:eastAsia="it-IT"/>
    </w:rPr>
  </w:style>
  <w:style w:type="paragraph" w:customStyle="1" w:styleId="Titolettocirc">
    <w:name w:val="Titolettocirc"/>
    <w:rsid w:val="00C50D7F"/>
    <w:pPr>
      <w:spacing w:after="0" w:line="240" w:lineRule="auto"/>
      <w:jc w:val="both"/>
    </w:pPr>
    <w:rPr>
      <w:rFonts w:ascii="Garamond" w:eastAsia="Times New Roman" w:hAnsi="Garamond" w:cs="Times New Roman"/>
      <w:b/>
      <w:sz w:val="20"/>
      <w:szCs w:val="20"/>
      <w:lang w:eastAsia="it-IT"/>
    </w:rPr>
  </w:style>
  <w:style w:type="paragraph" w:customStyle="1" w:styleId="facsimile">
    <w:name w:val="fac simile"/>
    <w:basedOn w:val="Normale"/>
    <w:rsid w:val="00C50D7F"/>
    <w:pPr>
      <w:jc w:val="right"/>
    </w:pPr>
    <w:rPr>
      <w:rFonts w:cs="Arial"/>
      <w:iCs/>
      <w:color w:val="D2232A"/>
      <w:szCs w:val="22"/>
    </w:rPr>
  </w:style>
  <w:style w:type="paragraph" w:customStyle="1" w:styleId="Default">
    <w:name w:val="Default"/>
    <w:rsid w:val="00C50D7F"/>
    <w:pPr>
      <w:autoSpaceDE w:val="0"/>
      <w:autoSpaceDN w:val="0"/>
      <w:adjustRightInd w:val="0"/>
      <w:spacing w:after="0" w:line="240" w:lineRule="auto"/>
    </w:pPr>
    <w:rPr>
      <w:rFonts w:ascii="InfoTextOT-Bold" w:eastAsia="Times New Roman" w:hAnsi="InfoTextOT-Bold" w:cs="InfoTextOT-Bold"/>
      <w:color w:val="000000"/>
      <w:sz w:val="24"/>
      <w:szCs w:val="24"/>
      <w:lang w:eastAsia="it-IT"/>
    </w:rPr>
  </w:style>
  <w:style w:type="paragraph" w:customStyle="1" w:styleId="Pa25">
    <w:name w:val="Pa25"/>
    <w:basedOn w:val="Default"/>
    <w:next w:val="Default"/>
    <w:rsid w:val="00C50D7F"/>
    <w:pPr>
      <w:spacing w:line="221" w:lineRule="atLeast"/>
    </w:pPr>
    <w:rPr>
      <w:rFonts w:cs="Times New Roman"/>
      <w:color w:val="auto"/>
    </w:rPr>
  </w:style>
  <w:style w:type="paragraph" w:customStyle="1" w:styleId="Carattere">
    <w:name w:val="Carattere"/>
    <w:rsid w:val="00C50D7F"/>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jc w:val="both"/>
    </w:pPr>
    <w:rPr>
      <w:rFonts w:ascii="Arial" w:eastAsia="Times New Roman" w:hAnsi="Arial" w:cs="Arial"/>
      <w:snapToGrid w:val="0"/>
      <w:spacing w:val="-2"/>
      <w:sz w:val="18"/>
      <w:szCs w:val="18"/>
      <w:lang w:val="en-GB" w:eastAsia="en-GB"/>
    </w:rPr>
  </w:style>
  <w:style w:type="paragraph" w:customStyle="1" w:styleId="NoteCirc">
    <w:name w:val="NoteCirc"/>
    <w:rsid w:val="00C50D7F"/>
    <w:pPr>
      <w:spacing w:after="0" w:line="240" w:lineRule="auto"/>
      <w:jc w:val="both"/>
    </w:pPr>
    <w:rPr>
      <w:rFonts w:ascii="Garamond" w:eastAsia="Times New Roman" w:hAnsi="Garamond" w:cs="Times New Roman"/>
      <w:sz w:val="16"/>
      <w:szCs w:val="20"/>
      <w:lang w:eastAsia="it-IT"/>
    </w:rPr>
  </w:style>
  <w:style w:type="paragraph" w:customStyle="1" w:styleId="newstitolo">
    <w:name w:val="news titolo"/>
    <w:basedOn w:val="Normale"/>
    <w:qFormat/>
    <w:rsid w:val="00C50D7F"/>
    <w:pPr>
      <w:spacing w:line="280" w:lineRule="exact"/>
      <w:jc w:val="center"/>
    </w:pPr>
    <w:rPr>
      <w:rFonts w:ascii="PT Sans" w:hAnsi="PT Sans"/>
      <w:b/>
      <w:bCs/>
      <w:iCs/>
      <w:smallCaps/>
      <w:sz w:val="26"/>
      <w:szCs w:val="26"/>
    </w:rPr>
  </w:style>
  <w:style w:type="paragraph" w:customStyle="1" w:styleId="newsfonte">
    <w:name w:val="news fonte"/>
    <w:basedOn w:val="Normale"/>
    <w:qFormat/>
    <w:rsid w:val="00C50D7F"/>
    <w:pPr>
      <w:spacing w:before="60" w:after="60" w:line="280" w:lineRule="exact"/>
      <w:jc w:val="right"/>
    </w:pPr>
    <w:rPr>
      <w:rFonts w:ascii="PT Sans" w:hAnsi="PT Sans"/>
      <w:b/>
      <w:bCs/>
      <w:sz w:val="20"/>
      <w:szCs w:val="20"/>
    </w:rPr>
  </w:style>
  <w:style w:type="paragraph" w:styleId="Testofumetto">
    <w:name w:val="Balloon Text"/>
    <w:basedOn w:val="Normale"/>
    <w:link w:val="TestofumettoCarattere"/>
    <w:unhideWhenUsed/>
    <w:rsid w:val="00707E02"/>
    <w:rPr>
      <w:rFonts w:ascii="Tahoma" w:hAnsi="Tahoma" w:cs="Tahoma"/>
      <w:sz w:val="16"/>
      <w:szCs w:val="16"/>
    </w:rPr>
  </w:style>
  <w:style w:type="character" w:customStyle="1" w:styleId="TestofumettoCarattere">
    <w:name w:val="Testo fumetto Carattere"/>
    <w:basedOn w:val="Carpredefinitoparagrafo"/>
    <w:link w:val="Testofumetto"/>
    <w:rsid w:val="00707E02"/>
    <w:rPr>
      <w:rFonts w:ascii="Tahoma" w:eastAsia="Times New Roman" w:hAnsi="Tahoma" w:cs="Tahoma"/>
      <w:sz w:val="16"/>
      <w:szCs w:val="16"/>
      <w:lang w:eastAsia="it-IT"/>
    </w:rPr>
  </w:style>
  <w:style w:type="numbering" w:customStyle="1" w:styleId="Elenco42">
    <w:name w:val="Elenco 42"/>
    <w:semiHidden/>
    <w:rsid w:val="00D573D5"/>
  </w:style>
  <w:style w:type="paragraph" w:styleId="Corpotesto">
    <w:name w:val="Body Text"/>
    <w:basedOn w:val="Normale"/>
    <w:link w:val="CorpotestoCarattere"/>
    <w:rsid w:val="000B7C61"/>
    <w:pPr>
      <w:spacing w:after="120"/>
    </w:pPr>
  </w:style>
  <w:style w:type="character" w:customStyle="1" w:styleId="CorpotestoCarattere">
    <w:name w:val="Corpo testo Carattere"/>
    <w:basedOn w:val="Carpredefinitoparagrafo"/>
    <w:link w:val="Corpotesto"/>
    <w:rsid w:val="000B7C61"/>
    <w:rPr>
      <w:rFonts w:ascii="Calibri" w:eastAsia="Times New Roman" w:hAnsi="Calibri" w:cs="Times New Roman"/>
      <w:szCs w:val="24"/>
      <w:lang w:eastAsia="it-IT"/>
    </w:rPr>
  </w:style>
  <w:style w:type="paragraph" w:customStyle="1" w:styleId="abstractarticoli">
    <w:name w:val="abstract  (articoli)"/>
    <w:basedOn w:val="Normale"/>
    <w:uiPriority w:val="1"/>
    <w:rsid w:val="009D5213"/>
    <w:pPr>
      <w:widowControl w:val="0"/>
      <w:suppressAutoHyphens/>
      <w:autoSpaceDE w:val="0"/>
      <w:autoSpaceDN w:val="0"/>
      <w:adjustRightInd w:val="0"/>
      <w:jc w:val="both"/>
      <w:textAlignment w:val="center"/>
    </w:pPr>
    <w:rPr>
      <w:rFonts w:ascii="PT Sans" w:hAnsi="PT Sans" w:cs="InfoTextOT-Italic"/>
      <w:i/>
      <w:iCs/>
      <w:color w:val="000000"/>
      <w:sz w:val="26"/>
      <w:szCs w:val="26"/>
    </w:rPr>
  </w:style>
  <w:style w:type="paragraph" w:customStyle="1" w:styleId="testotabella10ok">
    <w:name w:val="testo tabella 10 ok"/>
    <w:basedOn w:val="Normale"/>
    <w:uiPriority w:val="5"/>
    <w:qFormat/>
    <w:rsid w:val="009D5213"/>
    <w:pPr>
      <w:spacing w:line="320" w:lineRule="exact"/>
      <w:jc w:val="both"/>
    </w:pPr>
    <w:rPr>
      <w:rFonts w:ascii="PT Sans" w:hAnsi="PT Sans"/>
      <w:color w:val="000000"/>
      <w:sz w:val="20"/>
      <w:szCs w:val="20"/>
    </w:rPr>
  </w:style>
  <w:style w:type="paragraph" w:customStyle="1" w:styleId="testotabella10g">
    <w:name w:val="testo tabella 10 g"/>
    <w:basedOn w:val="testotabella10ok"/>
    <w:uiPriority w:val="5"/>
    <w:qFormat/>
    <w:rsid w:val="009D5213"/>
    <w:pPr>
      <w:jc w:val="center"/>
    </w:pPr>
    <w:rPr>
      <w:b/>
    </w:rPr>
  </w:style>
  <w:style w:type="paragraph" w:customStyle="1" w:styleId="autoriok">
    <w:name w:val="autori ok"/>
    <w:basedOn w:val="Normale"/>
    <w:uiPriority w:val="1"/>
    <w:qFormat/>
    <w:rsid w:val="009D5213"/>
    <w:pPr>
      <w:widowControl w:val="0"/>
      <w:autoSpaceDE w:val="0"/>
      <w:autoSpaceDN w:val="0"/>
      <w:adjustRightInd w:val="0"/>
      <w:spacing w:before="120" w:line="280" w:lineRule="atLeast"/>
      <w:jc w:val="both"/>
      <w:textAlignment w:val="center"/>
    </w:pPr>
    <w:rPr>
      <w:rFonts w:ascii="PT Sans" w:hAnsi="PT Sans" w:cs="InfoTextOT"/>
      <w:color w:val="000000"/>
      <w:szCs w:val="23"/>
    </w:rPr>
  </w:style>
  <w:style w:type="numbering" w:customStyle="1" w:styleId="Elenco43">
    <w:name w:val="Elenco 43"/>
    <w:semiHidden/>
    <w:rsid w:val="001650F9"/>
  </w:style>
  <w:style w:type="paragraph" w:customStyle="1" w:styleId="Carattere0">
    <w:name w:val="Carattere"/>
    <w:rsid w:val="001650F9"/>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jc w:val="both"/>
    </w:pPr>
    <w:rPr>
      <w:rFonts w:ascii="Arial" w:eastAsia="Times New Roman" w:hAnsi="Arial" w:cs="Arial"/>
      <w:snapToGrid w:val="0"/>
      <w:spacing w:val="-2"/>
      <w:sz w:val="18"/>
      <w:szCs w:val="18"/>
      <w:lang w:val="en-GB" w:eastAsia="en-GB"/>
    </w:rPr>
  </w:style>
  <w:style w:type="paragraph" w:customStyle="1" w:styleId="TITOLOparagrafoarticoli">
    <w:name w:val="TITOLO paragrafo (articoli)"/>
    <w:basedOn w:val="Normale"/>
    <w:rsid w:val="001650F9"/>
    <w:pPr>
      <w:widowControl w:val="0"/>
      <w:autoSpaceDE w:val="0"/>
      <w:autoSpaceDN w:val="0"/>
      <w:adjustRightInd w:val="0"/>
      <w:spacing w:line="360" w:lineRule="auto"/>
      <w:jc w:val="both"/>
      <w:textAlignment w:val="center"/>
    </w:pPr>
    <w:rPr>
      <w:rFonts w:ascii="PT Sans" w:hAnsi="PT Sans" w:cs="Calibri-Bold"/>
      <w:b/>
      <w:bCs/>
      <w:color w:val="006EB7"/>
      <w:sz w:val="26"/>
      <w:szCs w:val="26"/>
    </w:rPr>
  </w:style>
  <w:style w:type="paragraph" w:customStyle="1" w:styleId="testotabellapallino">
    <w:name w:val="testo tabella pallino"/>
    <w:basedOn w:val="Normale"/>
    <w:uiPriority w:val="5"/>
    <w:qFormat/>
    <w:rsid w:val="001650F9"/>
    <w:pPr>
      <w:numPr>
        <w:numId w:val="7"/>
      </w:numPr>
      <w:tabs>
        <w:tab w:val="num" w:pos="227"/>
      </w:tabs>
      <w:spacing w:line="320" w:lineRule="exact"/>
      <w:ind w:left="0" w:firstLine="0"/>
      <w:jc w:val="both"/>
    </w:pPr>
    <w:rPr>
      <w:rFonts w:ascii="PT Sans" w:hAnsi="PT Sans"/>
      <w:color w:val="000000"/>
      <w:sz w:val="20"/>
      <w:szCs w:val="20"/>
    </w:rPr>
  </w:style>
  <w:style w:type="paragraph" w:customStyle="1" w:styleId="normale0">
    <w:name w:val="normale"/>
    <w:aliases w:val="pararagrafo sotto citazione"/>
    <w:basedOn w:val="Normale"/>
    <w:uiPriority w:val="2"/>
    <w:qFormat/>
    <w:rsid w:val="001650F9"/>
    <w:pPr>
      <w:widowControl w:val="0"/>
      <w:autoSpaceDE w:val="0"/>
      <w:autoSpaceDN w:val="0"/>
      <w:adjustRightInd w:val="0"/>
      <w:spacing w:before="120" w:line="360" w:lineRule="auto"/>
      <w:jc w:val="both"/>
      <w:textAlignment w:val="center"/>
    </w:pPr>
    <w:rPr>
      <w:rFonts w:ascii="PT Sans" w:hAnsi="PT Sans" w:cs="Calibri"/>
      <w:bCs/>
      <w:szCs w:val="22"/>
    </w:rPr>
  </w:style>
  <w:style w:type="paragraph" w:customStyle="1" w:styleId="flashARGOMENTORASSEGNA">
    <w:name w:val="flash ARGOMENTO (RASSEGNA)"/>
    <w:basedOn w:val="Normale"/>
    <w:uiPriority w:val="6"/>
    <w:rsid w:val="001650F9"/>
    <w:pPr>
      <w:widowControl w:val="0"/>
      <w:pBdr>
        <w:bottom w:val="single" w:sz="6" w:space="2" w:color="006EB7"/>
      </w:pBdr>
      <w:autoSpaceDE w:val="0"/>
      <w:autoSpaceDN w:val="0"/>
      <w:adjustRightInd w:val="0"/>
      <w:spacing w:after="60" w:line="280" w:lineRule="atLeast"/>
      <w:jc w:val="both"/>
      <w:textAlignment w:val="center"/>
    </w:pPr>
    <w:rPr>
      <w:rFonts w:ascii="PT Sans" w:hAnsi="PT Sans" w:cs="Calibri"/>
      <w:b/>
      <w:bCs/>
      <w:color w:val="006EB7"/>
      <w:sz w:val="32"/>
      <w:szCs w:val="32"/>
    </w:rPr>
  </w:style>
  <w:style w:type="paragraph" w:customStyle="1" w:styleId="flashTESTOsingola">
    <w:name w:val="flash  TESTO singola"/>
    <w:basedOn w:val="Normale"/>
    <w:uiPriority w:val="6"/>
    <w:rsid w:val="001650F9"/>
    <w:pPr>
      <w:widowControl w:val="0"/>
      <w:autoSpaceDE w:val="0"/>
      <w:autoSpaceDN w:val="0"/>
      <w:adjustRightInd w:val="0"/>
      <w:jc w:val="both"/>
      <w:textAlignment w:val="center"/>
    </w:pPr>
    <w:rPr>
      <w:rFonts w:ascii="PT Sans" w:hAnsi="PT Sans" w:cs="Calibri"/>
      <w:color w:val="000000"/>
      <w:szCs w:val="22"/>
    </w:rPr>
  </w:style>
  <w:style w:type="numbering" w:customStyle="1" w:styleId="Elenco44">
    <w:name w:val="Elenco 44"/>
    <w:semiHidden/>
    <w:rsid w:val="00773C3A"/>
  </w:style>
  <w:style w:type="paragraph" w:customStyle="1" w:styleId="Carattere1">
    <w:name w:val="Carattere"/>
    <w:rsid w:val="00773C3A"/>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jc w:val="both"/>
    </w:pPr>
    <w:rPr>
      <w:rFonts w:ascii="Arial" w:eastAsia="Times New Roman" w:hAnsi="Arial" w:cs="Arial"/>
      <w:snapToGrid w:val="0"/>
      <w:spacing w:val="-2"/>
      <w:sz w:val="18"/>
      <w:szCs w:val="18"/>
      <w:lang w:val="en-GB" w:eastAsia="en-GB"/>
    </w:rPr>
  </w:style>
  <w:style w:type="paragraph" w:customStyle="1" w:styleId="gmail-paragrafo">
    <w:name w:val="gmail-paragrafo"/>
    <w:basedOn w:val="Normale"/>
    <w:rsid w:val="00360487"/>
    <w:pPr>
      <w:spacing w:before="100" w:beforeAutospacing="1" w:after="100" w:afterAutospacing="1"/>
    </w:pPr>
    <w:rPr>
      <w:rFonts w:ascii="Times New Roman" w:eastAsia="Calibri" w:hAnsi="Times New Roman"/>
      <w:sz w:val="24"/>
    </w:rPr>
  </w:style>
  <w:style w:type="character" w:customStyle="1" w:styleId="Titolo6Carattere">
    <w:name w:val="Titolo 6 Carattere"/>
    <w:basedOn w:val="Carpredefinitoparagrafo"/>
    <w:link w:val="Titolo6"/>
    <w:semiHidden/>
    <w:rsid w:val="003F5931"/>
    <w:rPr>
      <w:rFonts w:ascii="Calibri" w:eastAsia="Times New Roman" w:hAnsi="Calibri" w:cs="Times New Roman"/>
      <w:b/>
      <w:bCs/>
      <w:lang w:eastAsia="it-IT"/>
    </w:rPr>
  </w:style>
  <w:style w:type="numbering" w:customStyle="1" w:styleId="Elenco45">
    <w:name w:val="Elenco 45"/>
    <w:semiHidden/>
    <w:rsid w:val="003F5931"/>
  </w:style>
  <w:style w:type="paragraph" w:customStyle="1" w:styleId="Carattere2">
    <w:name w:val="Carattere"/>
    <w:rsid w:val="003F5931"/>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jc w:val="both"/>
    </w:pPr>
    <w:rPr>
      <w:rFonts w:ascii="Arial" w:eastAsia="Times New Roman" w:hAnsi="Arial" w:cs="Arial"/>
      <w:snapToGrid w:val="0"/>
      <w:spacing w:val="-2"/>
      <w:sz w:val="18"/>
      <w:szCs w:val="18"/>
      <w:lang w:val="en-GB" w:eastAsia="en-GB"/>
    </w:rPr>
  </w:style>
  <w:style w:type="character" w:customStyle="1" w:styleId="ParagrafoelencoCarattere">
    <w:name w:val="Paragrafo elenco Carattere"/>
    <w:link w:val="Paragrafoelenco"/>
    <w:uiPriority w:val="34"/>
    <w:locked/>
    <w:rsid w:val="003F5931"/>
    <w:rPr>
      <w:rFonts w:ascii="Times New Roman" w:eastAsia="Times New Roman" w:hAnsi="Times New Roman" w:cs="Times New Roman"/>
      <w:sz w:val="24"/>
      <w:szCs w:val="24"/>
      <w:lang w:eastAsia="it-IT"/>
    </w:rPr>
  </w:style>
  <w:style w:type="paragraph" w:customStyle="1" w:styleId="paragrafook">
    <w:name w:val="paragrafook"/>
    <w:basedOn w:val="Normale"/>
    <w:qFormat/>
    <w:rsid w:val="003F5931"/>
    <w:pPr>
      <w:spacing w:line="320" w:lineRule="exact"/>
      <w:jc w:val="both"/>
    </w:pPr>
    <w:rPr>
      <w:rFonts w:ascii="PT Sans" w:hAnsi="PT Sans"/>
      <w:b/>
      <w:color w:val="006EB7"/>
      <w:szCs w:val="22"/>
    </w:rPr>
  </w:style>
  <w:style w:type="paragraph" w:customStyle="1" w:styleId="Corpodeltesto21">
    <w:name w:val="Corpo del testo 21"/>
    <w:basedOn w:val="Normale"/>
    <w:rsid w:val="003F5931"/>
    <w:pPr>
      <w:widowControl w:val="0"/>
      <w:jc w:val="both"/>
    </w:pPr>
    <w:rPr>
      <w:rFonts w:ascii="Arial" w:hAnsi="Arial"/>
      <w:szCs w:val="22"/>
      <w:lang w:eastAsia="en-US"/>
    </w:rPr>
  </w:style>
  <w:style w:type="numbering" w:customStyle="1" w:styleId="Elenco46">
    <w:name w:val="Elenco 46"/>
    <w:semiHidden/>
    <w:rsid w:val="005B750E"/>
  </w:style>
  <w:style w:type="paragraph" w:customStyle="1" w:styleId="Carattere3">
    <w:name w:val="Carattere"/>
    <w:rsid w:val="005B750E"/>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jc w:val="both"/>
    </w:pPr>
    <w:rPr>
      <w:rFonts w:ascii="Arial" w:eastAsia="Times New Roman" w:hAnsi="Arial" w:cs="Arial"/>
      <w:snapToGrid w:val="0"/>
      <w:spacing w:val="-2"/>
      <w:sz w:val="18"/>
      <w:szCs w:val="18"/>
      <w:lang w:val="en-GB" w:eastAsia="en-GB"/>
    </w:rPr>
  </w:style>
  <w:style w:type="numbering" w:customStyle="1" w:styleId="Elenco47">
    <w:name w:val="Elenco 47"/>
    <w:semiHidden/>
    <w:rsid w:val="008A37D1"/>
  </w:style>
  <w:style w:type="paragraph" w:customStyle="1" w:styleId="Carattere4">
    <w:name w:val="Carattere"/>
    <w:rsid w:val="008A37D1"/>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jc w:val="both"/>
    </w:pPr>
    <w:rPr>
      <w:rFonts w:ascii="Arial" w:eastAsia="Times New Roman" w:hAnsi="Arial" w:cs="Arial"/>
      <w:snapToGrid w:val="0"/>
      <w:spacing w:val="-2"/>
      <w:sz w:val="18"/>
      <w:szCs w:val="18"/>
      <w:lang w:val="en-GB" w:eastAsia="en-GB"/>
    </w:rPr>
  </w:style>
  <w:style w:type="numbering" w:customStyle="1" w:styleId="Elenco48">
    <w:name w:val="Elenco 48"/>
    <w:semiHidden/>
    <w:rsid w:val="00C45D0C"/>
    <w:pPr>
      <w:numPr>
        <w:numId w:val="1"/>
      </w:numPr>
    </w:pPr>
  </w:style>
  <w:style w:type="paragraph" w:customStyle="1" w:styleId="Carattere5">
    <w:name w:val="Carattere"/>
    <w:rsid w:val="00C45D0C"/>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jc w:val="both"/>
    </w:pPr>
    <w:rPr>
      <w:rFonts w:ascii="Arial" w:eastAsia="Times New Roman" w:hAnsi="Arial" w:cs="Arial"/>
      <w:snapToGrid w:val="0"/>
      <w:spacing w:val="-2"/>
      <w:sz w:val="18"/>
      <w:szCs w:val="18"/>
      <w:lang w:val="en-GB" w:eastAsia="en-GB"/>
    </w:rPr>
  </w:style>
  <w:style w:type="paragraph" w:customStyle="1" w:styleId="testotabelladentrocaselletesto">
    <w:name w:val="testo tabella dentro caselle testo"/>
    <w:basedOn w:val="Normale"/>
    <w:rsid w:val="00C45D0C"/>
    <w:pPr>
      <w:jc w:val="both"/>
    </w:pPr>
    <w:rPr>
      <w:color w:val="000000"/>
      <w:sz w:val="20"/>
      <w:szCs w:val="20"/>
    </w:rPr>
  </w:style>
  <w:style w:type="paragraph" w:customStyle="1" w:styleId="Rientro1riga">
    <w:name w:val="Rientro 1 riga"/>
    <w:basedOn w:val="Normale"/>
    <w:next w:val="Normale"/>
    <w:semiHidden/>
    <w:rsid w:val="00C45D0C"/>
    <w:pPr>
      <w:numPr>
        <w:numId w:val="9"/>
      </w:numPr>
      <w:tabs>
        <w:tab w:val="left" w:pos="284"/>
      </w:tabs>
      <w:spacing w:before="120"/>
      <w:jc w:val="both"/>
    </w:pPr>
    <w:rPr>
      <w:rFonts w:ascii="Arial" w:hAnsi="Arial"/>
      <w:sz w:val="24"/>
      <w:szCs w:val="20"/>
    </w:rPr>
  </w:style>
  <w:style w:type="paragraph" w:customStyle="1" w:styleId="Pa12">
    <w:name w:val="Pa12"/>
    <w:basedOn w:val="Default"/>
    <w:next w:val="Default"/>
    <w:uiPriority w:val="99"/>
    <w:rsid w:val="00C45D0C"/>
    <w:pPr>
      <w:spacing w:line="220" w:lineRule="atLeast"/>
    </w:pPr>
    <w:rPr>
      <w:rFonts w:ascii="Calibri" w:hAnsi="Calibri" w:cs="Times New Roman"/>
      <w:color w:val="auto"/>
    </w:rPr>
  </w:style>
  <w:style w:type="numbering" w:customStyle="1" w:styleId="Elenco49">
    <w:name w:val="Elenco 49"/>
    <w:semiHidden/>
    <w:rsid w:val="0050750E"/>
  </w:style>
  <w:style w:type="numbering" w:customStyle="1" w:styleId="List4">
    <w:name w:val="List 4"/>
    <w:semiHidden/>
    <w:rsid w:val="00AB42BA"/>
    <w:pPr>
      <w:numPr>
        <w:numId w:val="1"/>
      </w:numPr>
    </w:pPr>
  </w:style>
  <w:style w:type="paragraph" w:customStyle="1" w:styleId="Carattere6">
    <w:name w:val=" Carattere"/>
    <w:rsid w:val="00AB42BA"/>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jc w:val="both"/>
    </w:pPr>
    <w:rPr>
      <w:rFonts w:ascii="Arial" w:eastAsia="Times New Roman" w:hAnsi="Arial" w:cs="Arial"/>
      <w:snapToGrid w:val="0"/>
      <w:spacing w:val="-2"/>
      <w:sz w:val="18"/>
      <w:szCs w:val="18"/>
      <w:lang w:val="en-GB" w:eastAsia="en-GB"/>
    </w:rPr>
  </w:style>
  <w:style w:type="paragraph" w:styleId="Finemodulo-z">
    <w:name w:val="HTML Bottom of Form"/>
    <w:basedOn w:val="Normale"/>
    <w:next w:val="Normale"/>
    <w:link w:val="Finemodulo-zCarattere"/>
    <w:hidden/>
    <w:uiPriority w:val="99"/>
    <w:unhideWhenUsed/>
    <w:rsid w:val="00AB42BA"/>
    <w:pPr>
      <w:pBdr>
        <w:top w:val="single" w:sz="6" w:space="1" w:color="auto"/>
      </w:pBdr>
      <w:jc w:val="center"/>
    </w:pPr>
    <w:rPr>
      <w:rFonts w:ascii="Arial" w:hAnsi="Arial" w:cs="Arial"/>
      <w:vanish/>
      <w:sz w:val="16"/>
      <w:szCs w:val="16"/>
    </w:rPr>
  </w:style>
  <w:style w:type="character" w:customStyle="1" w:styleId="Finemodulo-zCarattere">
    <w:name w:val="Fine modulo -z Carattere"/>
    <w:basedOn w:val="Carpredefinitoparagrafo"/>
    <w:link w:val="Finemodulo-z"/>
    <w:uiPriority w:val="99"/>
    <w:rsid w:val="00AB42BA"/>
    <w:rPr>
      <w:rFonts w:ascii="Arial" w:eastAsia="Times New Roman" w:hAnsi="Arial" w:cs="Arial"/>
      <w:vanish/>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7831412">
      <w:bodyDiv w:val="1"/>
      <w:marLeft w:val="0"/>
      <w:marRight w:val="0"/>
      <w:marTop w:val="0"/>
      <w:marBottom w:val="0"/>
      <w:divBdr>
        <w:top w:val="none" w:sz="0" w:space="0" w:color="auto"/>
        <w:left w:val="none" w:sz="0" w:space="0" w:color="auto"/>
        <w:bottom w:val="none" w:sz="0" w:space="0" w:color="auto"/>
        <w:right w:val="none" w:sz="0" w:space="0" w:color="auto"/>
      </w:divBdr>
      <w:divsChild>
        <w:div w:id="2001736457">
          <w:marLeft w:val="0"/>
          <w:marRight w:val="0"/>
          <w:marTop w:val="0"/>
          <w:marBottom w:val="0"/>
          <w:divBdr>
            <w:top w:val="none" w:sz="0" w:space="0" w:color="auto"/>
            <w:left w:val="none" w:sz="0" w:space="0" w:color="auto"/>
            <w:bottom w:val="none" w:sz="0" w:space="0" w:color="auto"/>
            <w:right w:val="none" w:sz="0" w:space="0" w:color="auto"/>
          </w:divBdr>
        </w:div>
      </w:divsChild>
    </w:div>
    <w:div w:id="1554121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1.agenziaentrate.gov.it/strumenti/scadenzario/main.php?op=4&amp;chi=28&amp;cosa=158&amp;come=264&amp;entroil=31-05-2018&amp;vista=0" TargetMode="External"/><Relationship Id="rId4" Type="http://schemas.microsoft.com/office/2007/relationships/stylesWithEffects" Target="stylesWithEffects.xml"/><Relationship Id="rId9" Type="http://schemas.openxmlformats.org/officeDocument/2006/relationships/hyperlink" Target="https://www1.agenziaentrate.gov.it/strumenti/scadenzario/main.php?op=4&amp;chi=28&amp;cosa=158&amp;come=264&amp;entroil=31-05-2018&amp;vista=0"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Veglianti\AppData\Local\Microsoft\Windows\Temporary%20Internet%20Files\Content.Outlook\MYHFM3HB\SVP_CartaLettere_A4.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E2B69-D893-46EB-8EDC-E81EDA399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SVP_CartaLettere_A4</Template>
  <TotalTime>57</TotalTime>
  <Pages>30</Pages>
  <Words>12088</Words>
  <Characters>68908</Characters>
  <Application>Microsoft Office Word</Application>
  <DocSecurity>0</DocSecurity>
  <Lines>574</Lines>
  <Paragraphs>161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Alfredo Veglianti</dc:creator>
  <cp:lastModifiedBy>Simone De Riso - Veglianti e Partners</cp:lastModifiedBy>
  <cp:revision>4</cp:revision>
  <cp:lastPrinted>2018-05-11T07:52:00Z</cp:lastPrinted>
  <dcterms:created xsi:type="dcterms:W3CDTF">2018-05-11T07:30:00Z</dcterms:created>
  <dcterms:modified xsi:type="dcterms:W3CDTF">2018-05-11T08:30:00Z</dcterms:modified>
</cp:coreProperties>
</file>